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Waterproofing Substrate Readiness Checklist</w:t>
      </w:r>
    </w:p>
    <w:p>
      <w:pPr>
        <w:spacing w:after="100"/>
      </w:pPr>
      <w:r>
        <w:rPr>
          <w:rFonts w:ascii="Arial" w:hAnsi="Arial"/>
          <w:b/>
          <w:sz w:val="20"/>
        </w:rPr>
        <w:t>Blank project field record  |  Complete from current approved documents and site observations</w:t>
      </w:r>
    </w:p>
    <w:p>
      <w:pPr>
        <w:spacing w:after="20"/>
      </w:pPr>
      <w:r>
        <w:rPr>
          <w:rFonts w:ascii="Arial" w:hAnsi="Arial"/>
          <w:b/>
          <w:sz w:val="22"/>
        </w:rPr>
        <w:t>Scope</w:t>
      </w:r>
    </w:p>
    <w:p>
      <w:pPr>
        <w:spacing w:after="60"/>
      </w:pPr>
      <w:r>
        <w:rPr>
          <w:rFonts w:ascii="Arial" w:hAnsi="Arial"/>
          <w:b w:val="0"/>
          <w:sz w:val="18"/>
        </w:rPr>
        <w:t>Included: Ordinary indoor wet-area wall and floor substrates immediately before primer or membrane installation. Focuses on handover from substrate/preparation work to the waterproofing installer.</w:t>
      </w:r>
    </w:p>
    <w:p>
      <w:pPr>
        <w:spacing w:after="60"/>
      </w:pPr>
      <w:r>
        <w:rPr>
          <w:rFonts w:ascii="Arial" w:hAnsi="Arial"/>
          <w:b w:val="0"/>
          <w:sz w:val="18"/>
        </w:rPr>
        <w:t>Excluded: Membrane coat inspection, pre-tiling release, structural design acceptance, concrete moisture design or substrate engineering assessment. No universal moisture percentage, surface profile, fall value, drying period or repair method is set here.</w:t>
      </w:r>
    </w:p>
    <w:p>
      <w:pPr>
        <w:spacing w:after="20"/>
      </w:pPr>
      <w:r>
        <w:rPr>
          <w:rFonts w:ascii="Arial" w:hAnsi="Arial"/>
          <w:b/>
          <w:sz w:val="22"/>
        </w:rPr>
        <w:t>Use and project setup</w:t>
      </w:r>
    </w:p>
    <w:p>
      <w:pPr>
        <w:spacing w:after="40"/>
      </w:pPr>
      <w:r>
        <w:rPr>
          <w:rFonts w:ascii="Arial" w:hAnsi="Arial"/>
          <w:b w:val="0"/>
          <w:sz w:val="18"/>
        </w:rPr>
        <w:t>Project field: Project / contractor  ______________________________________________</w:t>
      </w:r>
    </w:p>
    <w:p>
      <w:pPr>
        <w:spacing w:after="40"/>
      </w:pPr>
      <w:r>
        <w:rPr>
          <w:rFonts w:ascii="Arial" w:hAnsi="Arial"/>
          <w:b w:val="0"/>
          <w:sz w:val="18"/>
        </w:rPr>
        <w:t>Project field: Room / zone / surface  ______________________________________________</w:t>
      </w:r>
    </w:p>
    <w:p>
      <w:pPr>
        <w:spacing w:after="40"/>
      </w:pPr>
      <w:r>
        <w:rPr>
          <w:rFonts w:ascii="Arial" w:hAnsi="Arial"/>
          <w:b w:val="0"/>
          <w:sz w:val="18"/>
        </w:rPr>
        <w:t>Project field: Substrate type  ______________________________________________</w:t>
      </w:r>
    </w:p>
    <w:p>
      <w:pPr>
        <w:spacing w:after="40"/>
      </w:pPr>
      <w:r>
        <w:rPr>
          <w:rFonts w:ascii="Arial" w:hAnsi="Arial"/>
          <w:b w:val="0"/>
          <w:sz w:val="18"/>
        </w:rPr>
        <w:t>Project field: Inspection date  ______________________________________________</w:t>
      </w:r>
    </w:p>
    <w:p>
      <w:pPr>
        <w:spacing w:after="40"/>
      </w:pPr>
      <w:r>
        <w:rPr>
          <w:rFonts w:ascii="Arial" w:hAnsi="Arial"/>
          <w:b w:val="0"/>
          <w:sz w:val="18"/>
        </w:rPr>
        <w:t>Project field: Approved detail / revision  ______________________________________________</w:t>
      </w:r>
    </w:p>
    <w:p>
      <w:pPr>
        <w:spacing w:after="40"/>
      </w:pPr>
      <w:r>
        <w:rPr>
          <w:rFonts w:ascii="Arial" w:hAnsi="Arial"/>
          <w:b w:val="0"/>
          <w:sz w:val="18"/>
        </w:rPr>
        <w:t>Project field: Proposed membrane / primer system  ______________________________________________</w:t>
      </w:r>
    </w:p>
    <w:p>
      <w:pPr>
        <w:spacing w:after="40"/>
      </w:pPr>
      <w:r>
        <w:rPr>
          <w:rFonts w:ascii="Arial" w:hAnsi="Arial"/>
          <w:b w:val="0"/>
          <w:sz w:val="18"/>
        </w:rPr>
        <w:t>Before inspection: Project jurisdiction, class and compliance pathway — Identify the project building class, jurisdiction, adopted edition, variations and approved compliance pathway; a published code edition does not establish applicability.</w:t>
      </w:r>
    </w:p>
    <w:p>
      <w:pPr>
        <w:spacing w:after="40"/>
      </w:pPr>
      <w:r>
        <w:rPr>
          <w:rFonts w:ascii="Arial" w:hAnsi="Arial"/>
          <w:b w:val="0"/>
          <w:sz w:val="18"/>
        </w:rPr>
        <w:t>Before inspection: Substrate materials and construction records — Concrete, screeds, sheet flooring and wall linings have different system compatibility and preparation requirements.</w:t>
      </w:r>
    </w:p>
    <w:p>
      <w:pPr>
        <w:spacing w:after="40"/>
      </w:pPr>
      <w:r>
        <w:rPr>
          <w:rFonts w:ascii="Arial" w:hAnsi="Arial"/>
          <w:b w:val="0"/>
          <w:sz w:val="18"/>
        </w:rPr>
        <w:t>Before inspection: Approved finish levels, falls and drainage details — Compare to issued drawings/criteria; this record does not invent the design values.</w:t>
      </w:r>
    </w:p>
    <w:p>
      <w:pPr>
        <w:spacing w:after="40"/>
      </w:pPr>
      <w:r>
        <w:rPr>
          <w:rFonts w:ascii="Arial" w:hAnsi="Arial"/>
          <w:b w:val="0"/>
          <w:sz w:val="18"/>
        </w:rPr>
        <w:t>Before inspection: Membrane, primer and preparation products — Use exact manufacturer instructions for the selected substrate and system.</w:t>
      </w:r>
    </w:p>
    <w:p>
      <w:pPr>
        <w:spacing w:after="40"/>
      </w:pPr>
      <w:r>
        <w:rPr>
          <w:rFonts w:ascii="Arial" w:hAnsi="Arial"/>
          <w:b w:val="0"/>
          <w:sz w:val="18"/>
        </w:rPr>
        <w:t>Before inspection: Required substrate condition tests and acceptance — Enter method/value only when required and defined by approved project/system evidence; otherwise raise a clarification.</w:t>
      </w:r>
    </w:p>
    <w:p>
      <w:pPr>
        <w:spacing w:after="20"/>
      </w:pPr>
      <w:r>
        <w:rPr>
          <w:rFonts w:ascii="Arial" w:hAnsi="Arial"/>
          <w:b/>
          <w:sz w:val="22"/>
        </w:rPr>
        <w:t>How to use</w:t>
      </w:r>
    </w:p>
    <w:p>
      <w:pPr>
        <w:spacing w:after="40"/>
      </w:pPr>
      <w:r>
        <w:rPr>
          <w:rFonts w:ascii="Arial" w:hAnsi="Arial"/>
          <w:b w:val="0"/>
          <w:sz w:val="18"/>
        </w:rPr>
        <w:t>1. Inspect and record the actual substrate by room and surface before primer/membrane work begins.</w:t>
      </w:r>
    </w:p>
    <w:p>
      <w:pPr>
        <w:spacing w:after="40"/>
      </w:pPr>
      <w:r>
        <w:rPr>
          <w:rFonts w:ascii="Arial" w:hAnsi="Arial"/>
          <w:b w:val="0"/>
          <w:sz w:val="18"/>
        </w:rPr>
        <w:t>2. Record type, visible condition, defects, drainage/interface geometry and preparation status. Add measurements only against stated project criteria and approved method.</w:t>
      </w:r>
    </w:p>
    <w:p>
      <w:pPr>
        <w:spacing w:after="40"/>
      </w:pPr>
      <w:r>
        <w:rPr>
          <w:rFonts w:ascii="Arial" w:hAnsi="Arial"/>
          <w:b w:val="0"/>
          <w:sz w:val="18"/>
        </w:rPr>
        <w:t>3. Consult the exact selected membrane/primer instructions for substrate compatibility, dryness, preparation and primer; manufacturer values are product-specific.</w:t>
      </w:r>
    </w:p>
    <w:p>
      <w:pPr>
        <w:spacing w:after="40"/>
      </w:pPr>
      <w:r>
        <w:rPr>
          <w:rFonts w:ascii="Arial" w:hAnsi="Arial"/>
          <w:b w:val="0"/>
          <w:sz w:val="18"/>
        </w:rPr>
        <w:t>4. Mark unresolved cracks, contamination, movement, ponding, incompatible materials or missing acceptance criteria Pending; assign an action and recheck.</w:t>
      </w:r>
    </w:p>
    <w:p>
      <w:pPr>
        <w:spacing w:after="40"/>
      </w:pPr>
      <w:r>
        <w:rPr>
          <w:rFonts w:ascii="Arial" w:hAnsi="Arial"/>
          <w:b w:val="0"/>
          <w:sz w:val="18"/>
        </w:rPr>
        <w:t>5. This is a substrate handover record. The person checking does not gain design authority or certify the compliance pathway by signing it.</w:t>
      </w:r>
    </w:p>
    <w:p>
      <w:pPr>
        <w:spacing w:after="0"/>
      </w:pPr>
      <w:r>
        <w:rPr>
          <w:rFonts w:ascii="Arial" w:hAnsi="Arial"/>
          <w:b w:val="0"/>
          <w:sz w:val="16"/>
        </w:rPr>
        <w:t>Important: Blank record for ordinary indoor wet areas. Fill criteria from the approved project details and exact compatible system instructions, after confirming the applicable project compliance basis. Observations, test results and signatures stay blank until the work is checked. Recording installer work or site observations does not grant certification or contractual release authority.</w:t>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WS-01  Room, substrate and system match</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Confirm the substrate inspection is for the correct room/surface and the substrate type is permitted by the approved membrane/primer system.</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Compare room/element IDs, substrate build-up and product submittal/TDS; inspect accessible surface and record where condition changes.</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Observed substrate type and condition align with approved drawings and selected system scope; unlisted substrate or undocumented build-up remains Pending.</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room details, substrate submittal and current selected membrane/primer TDS.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Room / surface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Substrate type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Membrane / primer</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Drawing / submittal rev</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WS-02  Surface soundness and damage</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Inspect for loose/friable areas, weak edges, spalls, cracks, holes, ridges or defects likely to disrupt preparation or membrane continuity.</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Visual and tactile inspection; map each defect on room sketch/photo and record size/location only when measured using project method.</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Surface is repaired/accepted to the cited project and system criteria; unresolved movement or structural defects are referred for design disposition, not hidden by coating.</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substrate criteria, repair detail and selected system TDS.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Defect / location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Measured value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Disposition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Recheck photo</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WS-03  Cleanliness and contaminants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Check that dust, oil, grease, curing compounds, sealers, old adhesive/coatings, laitance and loose debris relevant to this substrate have been addressed.</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Inspect after the specified mechanical/vacuum/cleaning preparation; record observed contaminants and completed method.</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Prepared surface meets the exact system’s stated cleanliness condition; remaining contaminants are removed and rechecked before primer.</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preparation method and current membrane/accessory TDS.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Contaminant / area</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Prep method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Surface after prep</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Photo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WS-04  Moisture / dryness requirement</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Determine whether the approved project or selected system requires a moisture/dryness test and whether the specified method and criterion are available.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Review the exact product TDS and project specification; if testing is specified, record test location, method, instrument and actual value without substituting another method.</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Test result meets only the cited applicable criterion. If no applicable method/value or system requirement is identified, record the gap and obtain direction; no generic moisture limit is implied.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specification and current local membrane/primer TDS, including test method and stated substrate scope.</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Test / location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Method / instrument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value / unit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Criterion source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WS-05  Falls, levels and drainage readiness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Check floor levels/falls, local ponding and waste/flange location against the approved detail before membrane work.</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Use the project’s stated measurement method and reference points; map actual readings and drain/threshold interface. Do not infer required falls from another building class or pathway.</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Observed conditions satisfy the cited approved project details and applicable code pathway; discrepancy, ponding or missing datum is referred before covering.</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architectural/wet-area and drainage drawings; applicable adopted code clauses and project criteria.</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Point / datum</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level / fall / unit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Drain / threshold ID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Drawing / action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WS-06  Joints, penetrations and repair preparation</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Identify movement joints, cracks, wall/floor changes, penetrations and prior repairs that require system-specific treatment before membrane installation.</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Walk the surface and compare each detail to approved drawings and current system accessory instructions; photograph and map omitted details.</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Required detail and repair method are approved, accessible and ready for application; unresolved movement/design questions or incompatible repairs remain open.</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wet-area details and exact membrane/accessory TDS.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Detail / location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Approved treatment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Repair evidence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Open RFI</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WS-07  Preparation, primer and handover readiness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Confirm specified preparation is complete and the approved primer/product, surface condition, environmental checks and handover are ready for the next operation.</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Compare actual prepared surface and planned primer with exact system instructions; record applicable weather/temperature check only where project/TDS requires it.</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No unresolved defect or missing system/project criterion remains; ready status is recorded by the assigned role. This entry is not formal client release unless project says so.</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ITP/work method, current selected primer/membrane TDS and subcontract handover requirement.</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Prep record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Primer / batch</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Required readings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Handover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60"/>
      </w:pPr>
      <w:r>
        <w:rPr>
          <w:rFonts w:ascii="Arial" w:hAnsi="Arial"/>
          <w:b/>
          <w:sz w:val="32"/>
        </w:rPr>
        <w:t>Issues and corrective action</w:t>
      </w:r>
    </w:p>
    <w:p>
      <w:pPr>
        <w:spacing w:after="100"/>
      </w:pPr>
      <w:r>
        <w:rPr>
          <w:rFonts w:ascii="Arial" w:hAnsi="Arial"/>
          <w:b w:val="0"/>
          <w:sz w:val="16"/>
        </w:rPr>
        <w:t>Project: _____________________  Location / room / element: _____________________  Inspection date: _____________________</w:t>
      </w:r>
    </w:p>
    <w:tbl>
      <w:tblPr>
        <w:tblStyle w:val="TableGrid"/>
        <w:tblW w:type="auto" w:w="0"/>
        <w:tblLook w:firstColumn="1" w:firstRow="1" w:lastColumn="0" w:lastRow="0" w:noHBand="0" w:noVBand="1" w:val="04A0"/>
      </w:tblPr>
      <w:tblGrid>
        <w:gridCol w:w="3108"/>
        <w:gridCol w:w="3108"/>
        <w:gridCol w:w="3108"/>
        <w:gridCol w:w="3108"/>
        <w:gridCol w:w="3108"/>
      </w:tblGrid>
      <w:tr>
        <w:tc>
          <w:tcPr>
            <w:tcW w:type="dxa" w:w="3108"/>
            <w:vAlign w:val="center"/>
            <w:shd w:fill="167C80"/>
          </w:tcPr>
          <w:p>
            <w:pPr>
              <w:spacing w:after="20"/>
            </w:pPr>
            <w:r>
              <w:rPr>
                <w:rFonts w:ascii="Arial" w:hAnsi="Arial"/>
                <w:b/>
                <w:color w:val="FFFFFF"/>
                <w:sz w:val="16"/>
              </w:rPr>
              <w:t>Item / date</w:t>
            </w:r>
          </w:p>
        </w:tc>
        <w:tc>
          <w:tcPr>
            <w:tcW w:type="dxa" w:w="3108"/>
            <w:vAlign w:val="center"/>
            <w:shd w:fill="167C80"/>
          </w:tcPr>
          <w:p>
            <w:pPr>
              <w:spacing w:after="20"/>
            </w:pPr>
            <w:r>
              <w:rPr>
                <w:rFonts w:ascii="Arial" w:hAnsi="Arial"/>
                <w:b/>
                <w:color w:val="FFFFFF"/>
                <w:sz w:val="16"/>
              </w:rPr>
              <w:t>Issue and immediate action</w:t>
            </w:r>
          </w:p>
        </w:tc>
        <w:tc>
          <w:tcPr>
            <w:tcW w:type="dxa" w:w="3108"/>
            <w:vAlign w:val="center"/>
            <w:shd w:fill="167C80"/>
          </w:tcPr>
          <w:p>
            <w:pPr>
              <w:spacing w:after="20"/>
            </w:pPr>
            <w:r>
              <w:rPr>
                <w:rFonts w:ascii="Arial" w:hAnsi="Arial"/>
                <w:b/>
                <w:color w:val="FFFFFF"/>
                <w:sz w:val="16"/>
              </w:rPr>
              <w:t>Disposition / corrective instruction</w:t>
            </w:r>
          </w:p>
        </w:tc>
        <w:tc>
          <w:tcPr>
            <w:tcW w:type="dxa" w:w="3108"/>
            <w:vAlign w:val="center"/>
            <w:shd w:fill="167C80"/>
          </w:tcPr>
          <w:p>
            <w:pPr>
              <w:spacing w:after="20"/>
            </w:pPr>
            <w:r>
              <w:rPr>
                <w:rFonts w:ascii="Arial" w:hAnsi="Arial"/>
                <w:b/>
                <w:color w:val="FFFFFF"/>
                <w:sz w:val="16"/>
              </w:rPr>
              <w:t>Recheck evidence / date</w:t>
            </w:r>
          </w:p>
        </w:tc>
        <w:tc>
          <w:tcPr>
            <w:tcW w:type="dxa" w:w="3108"/>
            <w:vAlign w:val="center"/>
            <w:shd w:fill="167C80"/>
          </w:tcPr>
          <w:p>
            <w:pPr>
              <w:spacing w:after="20"/>
            </w:pPr>
            <w:r>
              <w:rPr>
                <w:rFonts w:ascii="Arial" w:hAnsi="Arial"/>
                <w:b/>
                <w:color w:val="FFFFFF"/>
                <w:sz w:val="16"/>
              </w:rPr>
              <w:t>Responsible role / reference</w:t>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bl>
    <w:p>
      <w:pPr>
        <w:spacing w:after="80"/>
      </w:pPr>
      <w:r>
        <w:rPr>
          <w:rFonts w:ascii="Arial" w:hAnsi="Arial"/>
          <w:b/>
          <w:sz w:val="16"/>
        </w:rPr>
        <w:t>Unresolved items: identify affected area, status, person notified, instruction / NCR reference and any condition before concealment or next work.</w:t>
      </w:r>
    </w:p>
    <w:p>
      <w:r>
        <w:br w:type="page"/>
      </w:r>
    </w:p>
    <w:p>
      <w:pPr>
        <w:spacing w:after="60"/>
      </w:pPr>
      <w:r>
        <w:rPr>
          <w:rFonts w:ascii="Arial" w:hAnsi="Arial"/>
          <w:b/>
          <w:sz w:val="32"/>
        </w:rPr>
        <w:t>Substrate handover before membrane</w:t>
      </w:r>
    </w:p>
    <w:p>
      <w:pPr>
        <w:spacing w:after="80"/>
      </w:pPr>
      <w:r>
        <w:rPr>
          <w:rFonts w:ascii="Arial" w:hAnsi="Arial"/>
          <w:b w:val="0"/>
          <w:sz w:val="18"/>
        </w:rPr>
        <w:t>Project: _____________________  Location / room / element: _____________________  Date: _____________________</w:t>
      </w:r>
    </w:p>
    <w:p>
      <w:pPr>
        <w:spacing w:after="40"/>
      </w:pPr>
      <w:r>
        <w:rPr>
          <w:rFonts w:ascii="Arial" w:hAnsi="Arial"/>
          <w:b/>
          <w:sz w:val="20"/>
        </w:rPr>
        <w:t>Pre-installation handover status</w:t>
      </w:r>
    </w:p>
    <w:p>
      <w:pPr>
        <w:spacing w:after="80"/>
      </w:pPr>
      <w:r>
        <w:rPr>
          <w:rFonts w:ascii="Arial" w:hAnsi="Arial"/>
          <w:b w:val="0"/>
          <w:sz w:val="18"/>
        </w:rPr>
        <w:t>[  ] Ready for installer handover</w:t>
      </w:r>
    </w:p>
    <w:p>
      <w:pPr>
        <w:spacing w:after="80"/>
      </w:pPr>
      <w:r>
        <w:rPr>
          <w:rFonts w:ascii="Arial" w:hAnsi="Arial"/>
          <w:b w:val="0"/>
          <w:sz w:val="18"/>
        </w:rPr>
        <w:t>[  ] Hold — rectify and recheck</w:t>
      </w:r>
    </w:p>
    <w:p>
      <w:pPr>
        <w:spacing w:after="80"/>
      </w:pPr>
      <w:r>
        <w:rPr>
          <w:rFonts w:ascii="Arial" w:hAnsi="Arial"/>
          <w:b w:val="0"/>
          <w:sz w:val="18"/>
        </w:rPr>
        <w:t>[  ] Refer — criteria or instruction required</w:t>
      </w:r>
    </w:p>
    <w:p>
      <w:pPr>
        <w:spacing w:after="100"/>
      </w:pPr>
      <w:r>
        <w:rPr>
          <w:rFonts w:ascii="Arial" w:hAnsi="Arial"/>
          <w:b w:val="0"/>
          <w:sz w:val="18"/>
        </w:rPr>
        <w:t>“Ready” records this site handover only; it does not approve substrate design or confirm code compliance. The waterproofing installer and any appointed verifier record their own roles. Missing suitability or acceptance criteria stay open.</w:t>
      </w:r>
    </w:p>
    <w:p>
      <w:pPr>
        <w:spacing w:after="20"/>
      </w:pPr>
      <w:r>
        <w:rPr>
          <w:rFonts w:ascii="Arial" w:hAnsi="Arial"/>
          <w:b/>
          <w:sz w:val="20"/>
        </w:rPr>
        <w:t>Handover roles and references</w:t>
      </w:r>
    </w:p>
    <w:p>
      <w:pPr>
        <w:spacing w:after="100"/>
      </w:pPr>
      <w:r>
        <w:rPr>
          <w:rFonts w:ascii="Arial" w:hAnsi="Arial"/>
          <w:b w:val="0"/>
          <w:sz w:val="18"/>
        </w:rPr>
        <w:t>Substrate installer / role / date  ______________________________________________</w:t>
      </w:r>
    </w:p>
    <w:p>
      <w:pPr>
        <w:spacing w:after="100"/>
      </w:pPr>
      <w:r>
        <w:rPr>
          <w:rFonts w:ascii="Arial" w:hAnsi="Arial"/>
          <w:b w:val="0"/>
          <w:sz w:val="18"/>
        </w:rPr>
        <w:t>Waterproofing installer receiver / date  ______________________________________________</w:t>
      </w:r>
    </w:p>
    <w:p>
      <w:pPr>
        <w:spacing w:after="100"/>
      </w:pPr>
      <w:r>
        <w:rPr>
          <w:rFonts w:ascii="Arial" w:hAnsi="Arial"/>
          <w:b w:val="0"/>
          <w:sz w:val="18"/>
        </w:rPr>
        <w:t>Site verifier / role / date  ______________________________________________</w:t>
      </w:r>
    </w:p>
    <w:p>
      <w:pPr>
        <w:spacing w:after="100"/>
      </w:pPr>
      <w:r>
        <w:rPr>
          <w:rFonts w:ascii="Arial" w:hAnsi="Arial"/>
          <w:b w:val="0"/>
          <w:sz w:val="18"/>
        </w:rPr>
        <w:t>Instruction authority / reference  ______________________________________________</w:t>
      </w:r>
    </w:p>
    <w:p>
      <w:pPr>
        <w:spacing w:after="20"/>
      </w:pPr>
      <w:r>
        <w:rPr>
          <w:rFonts w:ascii="Arial" w:hAnsi="Arial"/>
          <w:b/>
          <w:sz w:val="20"/>
        </w:rPr>
        <w:t>Installer / contractor declaration</w:t>
      </w:r>
    </w:p>
    <w:p>
      <w:pPr>
        <w:spacing w:after="60"/>
      </w:pPr>
      <w:r>
        <w:rPr>
          <w:rFonts w:ascii="Arial" w:hAnsi="Arial"/>
          <w:b w:val="0"/>
          <w:sz w:val="18"/>
        </w:rPr>
        <w:t>• Name / role / company  ______________________________________________</w:t>
      </w:r>
    </w:p>
    <w:p>
      <w:pPr>
        <w:spacing w:after="60"/>
      </w:pPr>
      <w:r>
        <w:rPr>
          <w:rFonts w:ascii="Arial" w:hAnsi="Arial"/>
          <w:b w:val="0"/>
          <w:sz w:val="18"/>
        </w:rPr>
        <w:t>• Areas and dates completed  ______________________________________________</w:t>
      </w:r>
    </w:p>
    <w:p>
      <w:pPr>
        <w:spacing w:after="60"/>
      </w:pPr>
      <w:r>
        <w:rPr>
          <w:rFonts w:ascii="Arial" w:hAnsi="Arial"/>
          <w:b w:val="0"/>
          <w:sz w:val="18"/>
        </w:rPr>
        <w:t>• Exceptions / repair references  ______________________________________________</w:t>
      </w:r>
    </w:p>
    <w:p>
      <w:pPr>
        <w:spacing w:after="60"/>
      </w:pPr>
      <w:r>
        <w:rPr>
          <w:rFonts w:ascii="Arial" w:hAnsi="Arial"/>
          <w:b w:val="0"/>
          <w:sz w:val="18"/>
        </w:rPr>
        <w:t>• Declaration / signature / date  ______________________________________________</w:t>
      </w:r>
    </w:p>
    <w:p>
      <w:pPr>
        <w:spacing w:after="20"/>
      </w:pPr>
      <w:r>
        <w:rPr>
          <w:rFonts w:ascii="Arial" w:hAnsi="Arial"/>
          <w:b/>
          <w:sz w:val="20"/>
        </w:rPr>
        <w:t>Site verifier observation</w:t>
      </w:r>
    </w:p>
    <w:p>
      <w:pPr>
        <w:spacing w:after="60"/>
      </w:pPr>
      <w:r>
        <w:rPr>
          <w:rFonts w:ascii="Arial" w:hAnsi="Arial"/>
          <w:b w:val="0"/>
          <w:sz w:val="18"/>
        </w:rPr>
        <w:t>• Name / role  ______________________________________________</w:t>
      </w:r>
    </w:p>
    <w:p>
      <w:pPr>
        <w:spacing w:after="60"/>
      </w:pPr>
      <w:r>
        <w:rPr>
          <w:rFonts w:ascii="Arial" w:hAnsi="Arial"/>
          <w:b w:val="0"/>
          <w:sz w:val="18"/>
        </w:rPr>
        <w:t>• Scope observed and date  ______________________________________________</w:t>
      </w:r>
    </w:p>
    <w:p>
      <w:pPr>
        <w:spacing w:after="60"/>
      </w:pPr>
      <w:r>
        <w:rPr>
          <w:rFonts w:ascii="Arial" w:hAnsi="Arial"/>
          <w:b w:val="0"/>
          <w:sz w:val="18"/>
        </w:rPr>
        <w:t>• Findings / evidence references  ______________________________________________</w:t>
      </w:r>
    </w:p>
    <w:p>
      <w:pPr>
        <w:spacing w:after="20"/>
      </w:pPr>
      <w:r>
        <w:rPr>
          <w:rFonts w:ascii="Arial" w:hAnsi="Arial"/>
          <w:b/>
          <w:sz w:val="20"/>
        </w:rPr>
        <w:t>Certifier / building surveyor (if required by project)</w:t>
      </w:r>
    </w:p>
    <w:p>
      <w:pPr>
        <w:spacing w:after="60"/>
      </w:pPr>
      <w:r>
        <w:rPr>
          <w:rFonts w:ascii="Arial" w:hAnsi="Arial"/>
          <w:b w:val="0"/>
          <w:sz w:val="18"/>
        </w:rPr>
        <w:t>• Assigned role and inspection scope  ______________________________________________</w:t>
      </w:r>
    </w:p>
    <w:p>
      <w:pPr>
        <w:spacing w:after="60"/>
      </w:pPr>
      <w:r>
        <w:rPr>
          <w:rFonts w:ascii="Arial" w:hAnsi="Arial"/>
          <w:b w:val="0"/>
          <w:sz w:val="18"/>
        </w:rPr>
        <w:t>• Record / certificate reference and date  ______________________________________________</w:t>
      </w:r>
    </w:p>
    <w:p>
      <w:pPr>
        <w:spacing w:after="20"/>
      </w:pPr>
      <w:r>
        <w:rPr>
          <w:rFonts w:ascii="Arial" w:hAnsi="Arial"/>
          <w:b/>
          <w:sz w:val="20"/>
        </w:rPr>
        <w:t>Project release / handover role</w:t>
      </w:r>
    </w:p>
    <w:p>
      <w:pPr>
        <w:spacing w:after="60"/>
      </w:pPr>
      <w:r>
        <w:rPr>
          <w:rFonts w:ascii="Arial" w:hAnsi="Arial"/>
          <w:b w:val="0"/>
          <w:sz w:val="18"/>
        </w:rPr>
        <w:t>• Role assigned by contract  ______________________________________________</w:t>
      </w:r>
    </w:p>
    <w:p>
      <w:pPr>
        <w:spacing w:after="60"/>
      </w:pPr>
      <w:r>
        <w:rPr>
          <w:rFonts w:ascii="Arial" w:hAnsi="Arial"/>
          <w:b w:val="0"/>
          <w:sz w:val="18"/>
        </w:rPr>
        <w:t>• Decision / status and conditions  ______________________________________________</w:t>
      </w:r>
    </w:p>
    <w:p>
      <w:pPr>
        <w:spacing w:after="60"/>
      </w:pPr>
      <w:r>
        <w:rPr>
          <w:rFonts w:ascii="Arial" w:hAnsi="Arial"/>
          <w:b w:val="0"/>
          <w:sz w:val="18"/>
        </w:rPr>
        <w:t>• Notice / ITP reference and date  ______________________________________________</w:t>
      </w:r>
    </w:p>
    <w:p>
      <w:pPr>
        <w:spacing w:after="0"/>
      </w:pPr>
      <w:r>
        <w:rPr>
          <w:rFonts w:ascii="Arial" w:hAnsi="Arial"/>
          <w:b w:val="0"/>
          <w:sz w:val="18"/>
        </w:rPr>
        <w:t>Signatures record the named person’s stated role and entry only. They do not by themselves approve design, certify compliance, release a contractual control point or authorize the next activity.</w:t>
      </w:r>
    </w:p>
    <w:p>
      <w:r>
        <w:br w:type="page"/>
      </w:r>
    </w:p>
    <w:p>
      <w:pPr>
        <w:spacing w:after="80"/>
      </w:pPr>
      <w:r>
        <w:rPr>
          <w:rFonts w:ascii="Arial" w:hAnsi="Arial"/>
          <w:b/>
          <w:sz w:val="34"/>
        </w:rPr>
        <w:t>Source notes</w:t>
      </w:r>
    </w:p>
    <w:p>
      <w:pPr>
        <w:spacing w:after="160"/>
      </w:pPr>
      <w:r>
        <w:rPr>
          <w:rFonts w:ascii="Arial" w:hAnsi="Arial"/>
          <w:b w:val="0"/>
          <w:sz w:val="18"/>
        </w:rPr>
        <w:t>These references explain topic and record design. They do not supply universal project acceptance values. Confirm the contract documents, applicable jurisdiction and approved product/system before use.</w:t>
      </w:r>
    </w:p>
    <w:p>
      <w:pPr>
        <w:spacing w:after="20"/>
      </w:pPr>
      <w:r>
        <w:rPr>
          <w:rFonts w:ascii="Arial" w:hAnsi="Arial"/>
          <w:b/>
          <w:sz w:val="20"/>
        </w:rPr>
        <w:t>ABCB, NCC 2022 Housing Provisions, Part 10.2 Wet area waterproofing</w:t>
      </w:r>
    </w:p>
    <w:p>
      <w:pPr>
        <w:spacing w:after="20"/>
      </w:pPr>
      <w:r>
        <w:rPr>
          <w:rFonts w:ascii="Arial" w:hAnsi="Arial"/>
          <w:b w:val="0"/>
          <w:sz w:val="18"/>
        </w:rPr>
        <w:t>Role: Official topic reference from NCC 2022 Housing Provisions, including the variations shown on that page. Confirm the project building class, compliance pathway, adopted edition and relevant state/territory variations before using any provision. This reference does not set universal acceptance criteria.</w:t>
      </w:r>
    </w:p>
    <w:p>
      <w:pPr>
        <w:spacing w:after="20"/>
      </w:pPr>
      <w:r>
        <w:rPr>
          <w:rFonts w:ascii="Arial" w:hAnsi="Arial"/>
          <w:b w:val="0"/>
          <w:sz w:val="18"/>
        </w:rPr>
        <w:t>Locator: Clauses 10.2.1–10.2.32; especially 10.2.6–10.2.13, 10.2.22–10.2.30</w:t>
      </w:r>
    </w:p>
    <w:p>
      <w:pPr>
        <w:spacing w:after="100"/>
      </w:pPr>
      <w:r>
        <w:rPr>
          <w:rFonts w:ascii="Arial" w:hAnsi="Arial"/>
          <w:b w:val="0"/>
          <w:sz w:val="18"/>
        </w:rPr>
        <w:t>Source URL: https://ncc.abcb.gov.au/editions/ncc-2022/adopted/housing-provisions/10-health-and-amenity/part-102-wet-area-waterproofing</w:t>
      </w:r>
    </w:p>
    <w:p>
      <w:pPr>
        <w:spacing w:after="20"/>
      </w:pPr>
      <w:r>
        <w:rPr>
          <w:rFonts w:ascii="Arial" w:hAnsi="Arial"/>
          <w:b/>
          <w:sz w:val="20"/>
        </w:rPr>
        <w:t>ABCB, Waterproofing in houses</w:t>
      </w:r>
    </w:p>
    <w:p>
      <w:pPr>
        <w:spacing w:after="20"/>
      </w:pPr>
      <w:r>
        <w:rPr>
          <w:rFonts w:ascii="Arial" w:hAnsi="Arial"/>
          <w:b w:val="0"/>
          <w:sz w:val="18"/>
        </w:rPr>
        <w:t>Role: Official introduction for Class 1 houses. Its national overview omits state/territory variations and does not establish requirements for other building classes or compliance pathways.</w:t>
      </w:r>
    </w:p>
    <w:p>
      <w:pPr>
        <w:spacing w:after="20"/>
      </w:pPr>
      <w:r>
        <w:rPr>
          <w:rFonts w:ascii="Arial" w:hAnsi="Arial"/>
          <w:b w:val="0"/>
          <w:sz w:val="18"/>
        </w:rPr>
        <w:t>Locator: Scope/target audience and sections on NCC 2022 Volume Two H4, Housing Provisions Part 10.2 and AS 3740 options</w:t>
      </w:r>
    </w:p>
    <w:p>
      <w:pPr>
        <w:spacing w:after="100"/>
      </w:pPr>
      <w:r>
        <w:rPr>
          <w:rFonts w:ascii="Arial" w:hAnsi="Arial"/>
          <w:b w:val="0"/>
          <w:sz w:val="18"/>
        </w:rPr>
        <w:t>Source URL: https://ncc.abcb.gov.au/ncc-navigator/waterproofing-houses</w:t>
      </w:r>
    </w:p>
    <w:p>
      <w:pPr>
        <w:spacing w:after="20"/>
      </w:pPr>
      <w:r>
        <w:rPr>
          <w:rFonts w:ascii="Arial" w:hAnsi="Arial"/>
          <w:b/>
          <w:sz w:val="20"/>
        </w:rPr>
        <w:t>ABCB, Editions of the National Construction Code</w:t>
      </w:r>
    </w:p>
    <w:p>
      <w:pPr>
        <w:spacing w:after="20"/>
      </w:pPr>
      <w:r>
        <w:rPr>
          <w:rFonts w:ascii="Arial" w:hAnsi="Arial"/>
          <w:b w:val="0"/>
          <w:sz w:val="18"/>
        </w:rPr>
        <w:t>Role: Official NCC edition index. Use it with the project documents and jurisdictional adoption/transition rules to identify the governing edition. Publication of a code edition does not by itself establish which edition applies to a particular project.</w:t>
      </w:r>
    </w:p>
    <w:p>
      <w:pPr>
        <w:spacing w:after="20"/>
      </w:pPr>
      <w:r>
        <w:rPr>
          <w:rFonts w:ascii="Arial" w:hAnsi="Arial"/>
          <w:b w:val="0"/>
          <w:sz w:val="18"/>
        </w:rPr>
        <w:t>Locator: Edition and amendment listings; then consult the project jurisdiction for adoption and transition provisions</w:t>
      </w:r>
    </w:p>
    <w:p>
      <w:pPr>
        <w:spacing w:after="100"/>
      </w:pPr>
      <w:r>
        <w:rPr>
          <w:rFonts w:ascii="Arial" w:hAnsi="Arial"/>
          <w:b w:val="0"/>
          <w:sz w:val="18"/>
        </w:rPr>
        <w:t>Source URL: https://ncc.abcb.gov.au/editions-national-construction-code</w:t>
      </w:r>
    </w:p>
    <w:p>
      <w:pPr>
        <w:spacing w:after="20"/>
      </w:pPr>
      <w:r>
        <w:rPr>
          <w:rFonts w:ascii="Arial" w:hAnsi="Arial"/>
          <w:b/>
          <w:sz w:val="20"/>
        </w:rPr>
        <w:t>ARDEX Australia, WPM 155 Rapid Plus Technical Data Sheet</w:t>
      </w:r>
    </w:p>
    <w:p>
      <w:pPr>
        <w:spacing w:after="20"/>
      </w:pPr>
      <w:r>
        <w:rPr>
          <w:rFonts w:ascii="Arial" w:hAnsi="Arial"/>
          <w:b w:val="0"/>
          <w:sz w:val="18"/>
        </w:rPr>
        <w:t>Role: First-party example of one internal/external under-tile system. Supports prompts to record substrate preparation, selected primer, junction/detail method, application coats, product-specific coverage/film build, curing and pre-cover inspection. Any manufacturer values apply only when this exact product/system is approved and the current local data sheet is verified; none are prefilled as generic acceptance criteria.</w:t>
      </w:r>
    </w:p>
    <w:p>
      <w:pPr>
        <w:spacing w:after="20"/>
      </w:pPr>
      <w:r>
        <w:rPr>
          <w:rFonts w:ascii="Arial" w:hAnsi="Arial"/>
          <w:b w:val="0"/>
          <w:sz w:val="18"/>
        </w:rPr>
        <w:t>Locator: January 2025 issue, pp. 1–3: substrate preparation, primer, detailing, application, curing, flood testing and tiling; manufacturer warns newer revision may exist</w:t>
      </w:r>
    </w:p>
    <w:p>
      <w:pPr>
        <w:spacing w:after="100"/>
      </w:pPr>
      <w:r>
        <w:rPr>
          <w:rFonts w:ascii="Arial" w:hAnsi="Arial"/>
          <w:b w:val="0"/>
          <w:sz w:val="18"/>
        </w:rPr>
        <w:t>Source URL: https://ardexaustralia.com/pdf/products/datasheets/waterproofing/ARDEX%20WPM%20155%20Rapid%20Plus%20Datasheet.pdf</w:t>
      </w:r>
    </w:p>
    <w:p>
      <w:pPr>
        <w:spacing w:after="20"/>
      </w:pPr>
      <w:r>
        <w:rPr>
          <w:rFonts w:ascii="Arial" w:hAnsi="Arial"/>
          <w:b/>
          <w:sz w:val="20"/>
        </w:rPr>
        <w:t>Sika Australia, Sika SealTape F Product Data Sheet</w:t>
      </w:r>
    </w:p>
    <w:p>
      <w:pPr>
        <w:spacing w:after="20"/>
      </w:pPr>
      <w:r>
        <w:rPr>
          <w:rFonts w:ascii="Arial" w:hAnsi="Arial"/>
          <w:b w:val="0"/>
          <w:sz w:val="18"/>
        </w:rPr>
        <w:t>Role: First-party accessory example for compatible Sika systems; supports documenting substrate cleanliness/priming, embedding, tape continuity/overlaps and membrane coat interface. Requirements are accessory/system specific and only apply after checking the selected membrane TDS and approval.</w:t>
      </w:r>
    </w:p>
    <w:p>
      <w:pPr>
        <w:spacing w:after="20"/>
      </w:pPr>
      <w:r>
        <w:rPr>
          <w:rFonts w:ascii="Arial" w:hAnsi="Arial"/>
          <w:b w:val="0"/>
          <w:sz w:val="18"/>
        </w:rPr>
        <w:t>Locator: December 2025 version 05.01, pp. 1–2, substrate preparation and application instructions</w:t>
      </w:r>
    </w:p>
    <w:p>
      <w:pPr>
        <w:spacing w:after="100"/>
      </w:pPr>
      <w:r>
        <w:rPr>
          <w:rFonts w:ascii="Arial" w:hAnsi="Arial"/>
          <w:b w:val="0"/>
          <w:sz w:val="18"/>
        </w:rPr>
        <w:t>Source URL: https://aus.sika.com/dms/getdocument.get/51447514-2e04-49ff-83cc-a4274d6f5191/sika-sealtape-f.pdf</w:t>
      </w:r>
    </w:p>
    <w:p>
      <w:pPr>
        <w:spacing w:after="20"/>
      </w:pPr>
      <w:r>
        <w:rPr>
          <w:rFonts w:ascii="Arial" w:hAnsi="Arial"/>
          <w:b/>
          <w:sz w:val="20"/>
        </w:rPr>
        <w:t>Construction Quality Association, Guide: How to create an ITP</w:t>
      </w:r>
    </w:p>
    <w:p>
      <w:pPr>
        <w:spacing w:after="20"/>
      </w:pPr>
      <w:r>
        <w:rPr>
          <w:rFonts w:ascii="Arial" w:hAnsi="Arial"/>
          <w:b w:val="0"/>
          <w:sz w:val="18"/>
        </w:rPr>
        <w:t>Role: ITP record design guidance only: identify what is checked, how, against what source, who records it, and what evidence follows. It supplies no waterproofing technical acceptance criteria.</w:t>
      </w:r>
    </w:p>
    <w:p>
      <w:pPr>
        <w:spacing w:after="20"/>
      </w:pPr>
      <w:r>
        <w:rPr>
          <w:rFonts w:ascii="Arial" w:hAnsi="Arial"/>
          <w:b w:val="0"/>
          <w:sz w:val="18"/>
        </w:rPr>
        <w:t>Locator: Whole article; ITP requirement/inspection/evidence structure</w:t>
      </w:r>
    </w:p>
    <w:p>
      <w:pPr>
        <w:spacing w:after="100"/>
      </w:pPr>
      <w:r>
        <w:rPr>
          <w:rFonts w:ascii="Arial" w:hAnsi="Arial"/>
          <w:b w:val="0"/>
          <w:sz w:val="18"/>
        </w:rPr>
        <w:t>Source URL: https://www.cqa.org.au/post/guide-how-to-create-an-inspection-and-test-plan-itp</w:t>
      </w:r>
    </w:p>
    <w:sectPr w:rsidR="00FC693F" w:rsidRPr="0006063C" w:rsidSect="00034616">
      <w:headerReference w:type="default" r:id="rId9"/>
      <w:footerReference w:type="default" r:id="rId10"/>
      <w:pgSz w:w="16834" w:h="11909" w:orient="landscape"/>
      <w:pgMar w:top="792" w:right="648" w:bottom="691"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7C80"/>
        <w:sz w:val="14"/>
      </w:rPr>
      <w:t xml:space="preserve">https://itp.cavoren.net/checklists/waterproofing-substrate/  |  Project: __________________________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67C80"/>
        <w:sz w:val="16"/>
      </w:rPr>
      <w:t>CAVOREN  |  FIELD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3303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