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Building Water Service Pressure Test Record</w:t>
      </w:r>
    </w:p>
    <w:p>
      <w:pPr>
        <w:spacing w:after="100"/>
      </w:pPr>
      <w:r>
        <w:rPr>
          <w:rFonts w:ascii="Arial" w:hAnsi="Arial"/>
          <w:b/>
          <w:sz w:val="20"/>
        </w:rPr>
        <w:t>Blank project field record  |  Complete from current approved documents and site observations</w:t>
      </w:r>
    </w:p>
    <w:p>
      <w:pPr>
        <w:spacing w:after="20"/>
      </w:pPr>
      <w:r>
        <w:rPr>
          <w:rFonts w:ascii="Arial" w:hAnsi="Arial"/>
          <w:b/>
          <w:sz w:val="22"/>
        </w:rPr>
        <w:t>Scope</w:t>
      </w:r>
    </w:p>
    <w:p>
      <w:pPr>
        <w:spacing w:after="60"/>
      </w:pPr>
      <w:r>
        <w:rPr>
          <w:rFonts w:ascii="Arial" w:hAnsi="Arial"/>
          <w:b w:val="0"/>
          <w:sz w:val="18"/>
        </w:rPr>
        <w:t>Included: Blank site record for ordinary building cold, heated or other specifically identified water-service sections only where a project-approved pressure test applies.</w:t>
      </w:r>
    </w:p>
    <w:p>
      <w:pPr>
        <w:spacing w:after="60"/>
      </w:pPr>
      <w:r>
        <w:rPr>
          <w:rFonts w:ascii="Arial" w:hAnsi="Arial"/>
          <w:b w:val="0"/>
          <w:sz w:val="18"/>
        </w:rPr>
        <w:t>Excluded: Designing or prescribing a test; universal pressure, duration, medium, test sequence or acceptance limits; industrial/process/high-pressure pipework, gas, fire networks or utility/authority mains unless separately scoped and supported by applicable project sources.</w:t>
      </w:r>
    </w:p>
    <w:p>
      <w:pPr>
        <w:spacing w:after="20"/>
      </w:pPr>
      <w:r>
        <w:rPr>
          <w:rFonts w:ascii="Arial" w:hAnsi="Arial"/>
          <w:b/>
          <w:sz w:val="22"/>
        </w:rPr>
        <w:t>Use and project setup</w:t>
      </w:r>
    </w:p>
    <w:p>
      <w:pPr>
        <w:spacing w:after="40"/>
      </w:pPr>
      <w:r>
        <w:rPr>
          <w:rFonts w:ascii="Arial" w:hAnsi="Arial"/>
          <w:b w:val="0"/>
          <w:sz w:val="18"/>
        </w:rPr>
        <w:t>Project field: Project / package  ______________________________________________</w:t>
      </w:r>
    </w:p>
    <w:p>
      <w:pPr>
        <w:spacing w:after="40"/>
      </w:pPr>
      <w:r>
        <w:rPr>
          <w:rFonts w:ascii="Arial" w:hAnsi="Arial"/>
          <w:b w:val="0"/>
          <w:sz w:val="18"/>
        </w:rPr>
        <w:t>Project field: State / territory and building class  ______________________________________________</w:t>
      </w:r>
    </w:p>
    <w:p>
      <w:pPr>
        <w:spacing w:after="40"/>
      </w:pPr>
      <w:r>
        <w:rPr>
          <w:rFonts w:ascii="Arial" w:hAnsi="Arial"/>
          <w:b w:val="0"/>
          <w:sz w:val="18"/>
        </w:rPr>
        <w:t>Project field: Service type / material  ______________________________________________</w:t>
      </w:r>
    </w:p>
    <w:p>
      <w:pPr>
        <w:spacing w:after="40"/>
      </w:pPr>
      <w:r>
        <w:rPr>
          <w:rFonts w:ascii="Arial" w:hAnsi="Arial"/>
          <w:b w:val="0"/>
          <w:sz w:val="18"/>
        </w:rPr>
        <w:t>Project field: Section from–to / drawing revision  ______________________________________________</w:t>
      </w:r>
    </w:p>
    <w:p>
      <w:pPr>
        <w:spacing w:after="40"/>
      </w:pPr>
      <w:r>
        <w:rPr>
          <w:rFonts w:ascii="Arial" w:hAnsi="Arial"/>
          <w:b w:val="0"/>
          <w:sz w:val="18"/>
        </w:rPr>
        <w:t>Project field: Approved method / criterion ref  ______________________________________________</w:t>
      </w:r>
    </w:p>
    <w:p>
      <w:pPr>
        <w:spacing w:after="40"/>
      </w:pPr>
      <w:r>
        <w:rPr>
          <w:rFonts w:ascii="Arial" w:hAnsi="Arial"/>
          <w:b w:val="0"/>
          <w:sz w:val="18"/>
        </w:rPr>
        <w:t>Project field: Instrument / serial / evidence  ______________________________________________</w:t>
      </w:r>
    </w:p>
    <w:p>
      <w:pPr>
        <w:spacing w:after="40"/>
      </w:pPr>
      <w:r>
        <w:rPr>
          <w:rFonts w:ascii="Arial" w:hAnsi="Arial"/>
          <w:b w:val="0"/>
          <w:sz w:val="18"/>
        </w:rPr>
        <w:t>Project field: Test date / recorder / assigned witness  ______________________________________________</w:t>
      </w:r>
    </w:p>
    <w:p>
      <w:pPr>
        <w:spacing w:after="40"/>
      </w:pPr>
      <w:r>
        <w:rPr>
          <w:rFonts w:ascii="Arial" w:hAnsi="Arial"/>
          <w:b w:val="0"/>
          <w:sz w:val="18"/>
        </w:rPr>
        <w:t>Project field: Repair / retest / closeout refs  ______________________________________________</w:t>
      </w:r>
    </w:p>
    <w:p>
      <w:pPr>
        <w:spacing w:after="40"/>
      </w:pPr>
      <w:r>
        <w:rPr>
          <w:rFonts w:ascii="Arial" w:hAnsi="Arial"/>
          <w:b w:val="0"/>
          <w:sz w:val="18"/>
        </w:rPr>
        <w:t>Before inspection: Approved service drawings and section boundaries — Identify service type, material, endpoints, branches and current revisions.</w:t>
      </w:r>
    </w:p>
    <w:p>
      <w:pPr>
        <w:spacing w:after="40"/>
      </w:pPr>
      <w:r>
        <w:rPr>
          <w:rFonts w:ascii="Arial" w:hAnsi="Arial"/>
          <w:b w:val="0"/>
          <w:sz w:val="18"/>
        </w:rPr>
        <w:t>Before inspection: Project-adopted test procedure and acceptance criteria — Supplies actual medium, pressure/time, readings, tolerances, preparation and test controls; none are invented here.</w:t>
      </w:r>
    </w:p>
    <w:p>
      <w:pPr>
        <w:spacing w:after="40"/>
      </w:pPr>
      <w:r>
        <w:rPr>
          <w:rFonts w:ascii="Arial" w:hAnsi="Arial"/>
          <w:b w:val="0"/>
          <w:sz w:val="18"/>
        </w:rPr>
        <w:t>Before inspection: Project instrument and witness requirements — Assign instrument evidence, responsible roles, notification and any contractual release.</w:t>
      </w:r>
    </w:p>
    <w:p>
      <w:pPr>
        <w:spacing w:after="40"/>
      </w:pPr>
      <w:r>
        <w:rPr>
          <w:rFonts w:ascii="Arial" w:hAnsi="Arial"/>
          <w:b w:val="0"/>
          <w:sz w:val="18"/>
        </w:rPr>
        <w:t>Before inspection: Service restoration/commissioning requirements — Defines whether flushing, disinfection, reinstatement or other closeout records apply.</w:t>
      </w:r>
    </w:p>
    <w:p>
      <w:pPr>
        <w:spacing w:after="20"/>
      </w:pPr>
      <w:r>
        <w:rPr>
          <w:rFonts w:ascii="Arial" w:hAnsi="Arial"/>
          <w:b/>
          <w:sz w:val="22"/>
        </w:rPr>
        <w:t>How to use</w:t>
      </w:r>
    </w:p>
    <w:p>
      <w:pPr>
        <w:spacing w:after="40"/>
      </w:pPr>
      <w:r>
        <w:rPr>
          <w:rFonts w:ascii="Arial" w:hAnsi="Arial"/>
          <w:b w:val="0"/>
          <w:sz w:val="18"/>
        </w:rPr>
        <w:t>1. Create one record per defined test section; do not combine sections with different materials, boundaries or approved methods.</w:t>
      </w:r>
    </w:p>
    <w:p>
      <w:pPr>
        <w:spacing w:after="40"/>
      </w:pPr>
      <w:r>
        <w:rPr>
          <w:rFonts w:ascii="Arial" w:hAnsi="Arial"/>
          <w:b w:val="0"/>
          <w:sz w:val="18"/>
        </w:rPr>
        <w:t>2. Transcribe the governing procedure and exact criterion before testing, including units and reference. If absent, mark the criterion unresolved.</w:t>
      </w:r>
    </w:p>
    <w:p>
      <w:pPr>
        <w:spacing w:after="40"/>
      </w:pPr>
      <w:r>
        <w:rPr>
          <w:rFonts w:ascii="Arial" w:hAnsi="Arial"/>
          <w:b w:val="0"/>
          <w:sz w:val="18"/>
        </w:rPr>
        <w:t>3. Identify actual isolation boundaries and setup from the approved method. The form does not direct how to pressurize or isolate a system.</w:t>
      </w:r>
    </w:p>
    <w:p>
      <w:pPr>
        <w:spacing w:after="40"/>
      </w:pPr>
      <w:r>
        <w:rPr>
          <w:rFonts w:ascii="Arial" w:hAnsi="Arial"/>
          <w:b w:val="0"/>
          <w:sz w:val="18"/>
        </w:rPr>
        <w:t>4. Enter readings, times, instrument and observed leaks as they occur. Keep the original test result linked when repairs or retests follow.</w:t>
      </w:r>
    </w:p>
    <w:p>
      <w:pPr>
        <w:spacing w:after="40"/>
      </w:pPr>
      <w:r>
        <w:rPr>
          <w:rFonts w:ascii="Arial" w:hAnsi="Arial"/>
          <w:b w:val="0"/>
          <w:sz w:val="18"/>
        </w:rPr>
        <w:t>5. Record project-assigned review, restoration and release evidence separately; signature alone is not a technical approval.</w:t>
      </w:r>
    </w:p>
    <w:p>
      <w:pPr>
        <w:spacing w:after="0"/>
      </w:pPr>
      <w:r>
        <w:rPr>
          <w:rFonts w:ascii="Arial" w:hAnsi="Arial"/>
          <w:b w:val="0"/>
          <w:sz w:val="16"/>
        </w:rPr>
        <w:t>Important: No pressure, time, acceptance limit, test medium or safety step is prefilled. Use the current approved project procedure for the identified service and section, including its isolation and execution controls. Record actual values and any repair/retest without overwriting the original entry.</w:t>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WPT-01  Test section and approved test basis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Service type and material, unique section boundaries, endpoints, branch/isolation points, drawing revision and test procedure/acceptance source.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Identify and mark the test section against current approved drawings and the project test schedule; confirm the assigned procedure and revision apply to this service/material.</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Section limits, service identity, procedure and acceptance source are traceable and agreed before recording a test. No test value is supplied by this form.</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Current approved project drawings, specification, adopted service standard and inspection/test plan; record exact document, revision, clause/detail and affected segment.</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Water service / material</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From–to / boundary IDs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Drawing / isometric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Procedure and criterion clause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WPT-02  Test medium, isolation and setup evidence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Approved medium, isolation/boundary arrangement, connected components excluded or included, temporary caps/plugs, and any project-required preparation or notice.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Record the actual setup and link to the approved method; identify any exclusions, temporary arrangements and project-authorized witness/notification evidence.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Recorded setup matches the approved procedure for the defined section and identifies isolation boundaries and required parties. This record does not prescribe a test or safety procedure.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Current approved project drawings, specification, adopted service standard and inspection/test plan; record exact document, revision, clause/detail and affected segment.</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Actual test medium</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Isolation points / boundary sketch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Included / excluded fixtures or components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Notice / witness record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WPT-03  Instrument identity and pre-test reference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Instrument type/ID/serial, range/unit, current project-required calibration or verification evidence, and any reference reading required by method.</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Transcribe from instrument label and controlled equipment record; link the certificate/check record and note the date applicable to the test.</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instrument used is uniquely identified and any project/method-required equipment evidence is traceable; this template supplies no calibration interval or accuracy class.</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Current approved project drawings, specification, adopted service standard and inspection/test plan; record exact document, revision, clause/detail and affected segment.</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Instrument type / serial</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Range and displayed unit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Calibration / verification ref and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Pre-test check / reference reading</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WPT-04  Actual readings, leakage observation and test interval</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Actual start/end readings with units and recorded times, intermediate readings required by procedure, visible leakage/pressure change observations, and criterion comparison source.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Enter contemporaneous actual readings and observations exactly as obtained; record the method-defined elapsed interval and compare only with the stated approved criterion.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Actual results, units, times and observations are complete and attributable to the identified section and instrument; conformity is assessed only against the entered project criterion.</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Current approved project drawings, specification, adopted service standard and inspection/test plan; record exact document, revision, clause/detail and affected segment.</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Start reading / unit / 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Intermediate reading(s) / unit / 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End reading / unit / 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Observed leakage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Elapsed interval per approved method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Criterion / clause / actual comparison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WPT-05  Leak repair, retest and return-to-service evidence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Leak/issue location, repair instruction and materials/reference, retest section/method, actual retest record and reinstatement/flush/commissioning evidence where required.</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original test and each repair/retest in sequence. Record post-test restoration and any required project handover evidence without assuming it is always applicable.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Repairs and retests are traceable to the original section and disposition; required reinstatement and closeout documents are filed under the project process.</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Current approved project drawings, specification, adopted service standard and inspection/test plan; record exact document, revision, clause/detail and affected segment.</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Issue / leak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Repair instruction / work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Retest record ID / section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Restoration evidence required /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Disposition / closeout role and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0"/>
        </w:rPr>
        <w:t>Water service test reading and event log</w:t>
      </w:r>
    </w:p>
    <w:p>
      <w:pPr>
        <w:spacing w:after="80"/>
      </w:pPr>
      <w:r>
        <w:rPr>
          <w:rFonts w:ascii="Arial" w:hAnsi="Arial"/>
          <w:b w:val="0"/>
          <w:sz w:val="17"/>
        </w:rPr>
        <w:t>Use one line per actual reading or event for the same identified test section. Preserve the initial result; record repairs and each retest under a linked record ID. Leave all actual entries blank until the event occurs.</w:t>
      </w:r>
    </w:p>
    <w:p>
      <w:pPr>
        <w:spacing w:after="40"/>
      </w:pPr>
      <w:r>
        <w:rPr>
          <w:rFonts w:ascii="Arial" w:hAnsi="Arial"/>
          <w:b w:val="0"/>
          <w:sz w:val="16"/>
        </w:rPr>
        <w:t>Project / contract: ______________________________    Element / pour / lot: ______________________________    Date / shift: ____________________</w:t>
      </w:r>
    </w:p>
    <w:p>
      <w:pPr>
        <w:spacing w:after="80"/>
      </w:pPr>
      <w:r>
        <w:rPr>
          <w:rFonts w:ascii="Arial" w:hAnsi="Arial"/>
          <w:b w:val="0"/>
          <w:sz w:val="16"/>
        </w:rPr>
        <w:t>Location / area: ______________________________    Record reference / revision: ______________________________</w:t>
      </w:r>
    </w:p>
    <w:tbl>
      <w:tblPr>
        <w:tblStyle w:val="TableGrid"/>
        <w:tblW w:type="auto" w:w="0"/>
        <w:tblLayout w:type="fixed"/>
        <w:tblLook w:firstColumn="1" w:firstRow="1" w:lastColumn="0" w:lastRow="0" w:noHBand="0" w:noVBand="1" w:val="04A0"/>
      </w:tblPr>
      <w:tblGrid>
        <w:gridCol w:w="1726"/>
        <w:gridCol w:w="1726"/>
        <w:gridCol w:w="1726"/>
        <w:gridCol w:w="1726"/>
        <w:gridCol w:w="1726"/>
        <w:gridCol w:w="1726"/>
        <w:gridCol w:w="1726"/>
        <w:gridCol w:w="1726"/>
        <w:gridCol w:w="1726"/>
      </w:tblGrid>
      <w:tr>
        <w:trPr>
          <w:trHeight w:val="691" w:hRule="atLeast"/>
          <w:tblHeader w:val="true"/>
          <w:cantSplit/>
        </w:trPr>
        <w:tc>
          <w:tcPr>
            <w:tcW w:type="dxa" w:w="1289"/>
            <w:vAlign w:val="center"/>
            <w:shd w:fill="167C80"/>
          </w:tcPr>
          <w:p>
            <w:pPr>
              <w:spacing w:after="0" w:line="240" w:lineRule="auto"/>
            </w:pPr>
            <w:r>
              <w:rPr>
                <w:rFonts w:ascii="Arial" w:hAnsi="Arial"/>
                <w:b/>
                <w:color w:val="FFFFFF"/>
                <w:sz w:val="14"/>
              </w:rPr>
              <w:t>Date / time</w:t>
            </w:r>
          </w:p>
        </w:tc>
        <w:tc>
          <w:tcPr>
            <w:tcW w:type="dxa" w:w="1653"/>
            <w:vAlign w:val="center"/>
            <w:shd w:fill="167C80"/>
          </w:tcPr>
          <w:p>
            <w:pPr>
              <w:spacing w:after="0" w:line="240" w:lineRule="auto"/>
            </w:pPr>
            <w:r>
              <w:rPr>
                <w:rFonts w:ascii="Arial" w:hAnsi="Arial"/>
                <w:b/>
                <w:color w:val="FFFFFF"/>
                <w:sz w:val="14"/>
              </w:rPr>
              <w:t>Section / location</w:t>
            </w:r>
          </w:p>
        </w:tc>
        <w:tc>
          <w:tcPr>
            <w:tcW w:type="dxa" w:w="1653"/>
            <w:vAlign w:val="center"/>
            <w:shd w:fill="167C80"/>
          </w:tcPr>
          <w:p>
            <w:pPr>
              <w:spacing w:after="0" w:line="240" w:lineRule="auto"/>
            </w:pPr>
            <w:r>
              <w:rPr>
                <w:rFonts w:ascii="Arial" w:hAnsi="Arial"/>
                <w:b/>
                <w:color w:val="FFFFFF"/>
                <w:sz w:val="14"/>
              </w:rPr>
              <w:t>Stage / event</w:t>
            </w:r>
          </w:p>
        </w:tc>
        <w:tc>
          <w:tcPr>
            <w:tcW w:type="dxa" w:w="2347"/>
            <w:vAlign w:val="center"/>
            <w:shd w:fill="167C80"/>
          </w:tcPr>
          <w:p>
            <w:pPr>
              <w:spacing w:after="0" w:line="240" w:lineRule="auto"/>
            </w:pPr>
            <w:r>
              <w:rPr>
                <w:rFonts w:ascii="Arial" w:hAnsi="Arial"/>
                <w:b/>
                <w:color w:val="FFFFFF"/>
                <w:sz w:val="14"/>
              </w:rPr>
              <w:t>Procedure / criterion ref</w:t>
            </w:r>
          </w:p>
        </w:tc>
        <w:tc>
          <w:tcPr>
            <w:tcW w:type="dxa" w:w="1653"/>
            <w:vAlign w:val="center"/>
            <w:shd w:fill="167C80"/>
          </w:tcPr>
          <w:p>
            <w:pPr>
              <w:spacing w:after="0" w:line="240" w:lineRule="auto"/>
            </w:pPr>
            <w:r>
              <w:rPr>
                <w:rFonts w:ascii="Arial" w:hAnsi="Arial"/>
                <w:b/>
                <w:color w:val="FFFFFF"/>
                <w:sz w:val="14"/>
              </w:rPr>
              <w:t>Instrument ID</w:t>
            </w:r>
          </w:p>
        </w:tc>
        <w:tc>
          <w:tcPr>
            <w:tcW w:type="dxa" w:w="1653"/>
            <w:vAlign w:val="center"/>
            <w:shd w:fill="167C80"/>
          </w:tcPr>
          <w:p>
            <w:pPr>
              <w:spacing w:after="0" w:line="240" w:lineRule="auto"/>
            </w:pPr>
            <w:r>
              <w:rPr>
                <w:rFonts w:ascii="Arial" w:hAnsi="Arial"/>
                <w:b/>
                <w:color w:val="FFFFFF"/>
                <w:sz w:val="14"/>
              </w:rPr>
              <w:t>Actual reading / unit</w:t>
            </w:r>
          </w:p>
        </w:tc>
        <w:tc>
          <w:tcPr>
            <w:tcW w:type="dxa" w:w="2347"/>
            <w:vAlign w:val="center"/>
            <w:shd w:fill="167C80"/>
          </w:tcPr>
          <w:p>
            <w:pPr>
              <w:spacing w:after="0" w:line="240" w:lineRule="auto"/>
            </w:pPr>
            <w:r>
              <w:rPr>
                <w:rFonts w:ascii="Arial" w:hAnsi="Arial"/>
                <w:b/>
                <w:color w:val="FFFFFF"/>
                <w:sz w:val="14"/>
              </w:rPr>
              <w:t>Observed leak / condition</w:t>
            </w:r>
          </w:p>
        </w:tc>
        <w:tc>
          <w:tcPr>
            <w:tcW w:type="dxa" w:w="1653"/>
            <w:vAlign w:val="center"/>
            <w:shd w:fill="167C80"/>
          </w:tcPr>
          <w:p>
            <w:pPr>
              <w:spacing w:after="0" w:line="240" w:lineRule="auto"/>
            </w:pPr>
            <w:r>
              <w:rPr>
                <w:rFonts w:ascii="Arial" w:hAnsi="Arial"/>
                <w:b/>
                <w:color w:val="FFFFFF"/>
                <w:sz w:val="14"/>
              </w:rPr>
              <w:t>Repair / retest ref</w:t>
            </w:r>
          </w:p>
        </w:tc>
        <w:tc>
          <w:tcPr>
            <w:tcW w:type="dxa" w:w="1289"/>
            <w:vAlign w:val="center"/>
            <w:shd w:fill="167C80"/>
          </w:tcPr>
          <w:p>
            <w:pPr>
              <w:spacing w:after="0" w:line="240" w:lineRule="auto"/>
            </w:pPr>
            <w:r>
              <w:rPr>
                <w:rFonts w:ascii="Arial" w:hAnsi="Arial"/>
                <w:b/>
                <w:color w:val="FFFFFF"/>
                <w:sz w:val="14"/>
              </w:rPr>
              <w:t>Recorder / status</w:t>
            </w:r>
          </w:p>
        </w:tc>
      </w:tr>
      <w:tr>
        <w:trPr>
          <w:cantSplit/>
          <w:trHeight w:val="547" w:hRule="atLeast"/>
        </w:trPr>
        <w:tc>
          <w:tcPr>
            <w:tcW w:type="dxa" w:w="1289"/>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289"/>
            <w:vAlign w:val="center"/>
          </w:tcPr>
          <w:p>
            <w:pPr>
              <w:spacing w:after="0" w:line="240" w:lineRule="auto"/>
            </w:pPr>
            <w:r>
              <w:rPr>
                <w:rFonts w:ascii="Arial" w:hAnsi="Arial"/>
                <w:color w:val="23303C"/>
                <w:sz w:val="14"/>
              </w:rPr>
              <w:t xml:space="preserve"> </w:t>
            </w:r>
          </w:p>
        </w:tc>
      </w:tr>
      <w:tr>
        <w:trPr>
          <w:cantSplit/>
          <w:trHeight w:val="547" w:hRule="atLeast"/>
        </w:trPr>
        <w:tc>
          <w:tcPr>
            <w:tcW w:type="dxa" w:w="1289"/>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289"/>
            <w:vAlign w:val="center"/>
          </w:tcPr>
          <w:p>
            <w:pPr>
              <w:spacing w:after="0" w:line="240" w:lineRule="auto"/>
            </w:pPr>
            <w:r>
              <w:rPr>
                <w:rFonts w:ascii="Arial" w:hAnsi="Arial"/>
                <w:color w:val="23303C"/>
                <w:sz w:val="14"/>
              </w:rPr>
              <w:t xml:space="preserve"> </w:t>
            </w:r>
          </w:p>
        </w:tc>
      </w:tr>
      <w:tr>
        <w:trPr>
          <w:cantSplit/>
          <w:trHeight w:val="547" w:hRule="atLeast"/>
        </w:trPr>
        <w:tc>
          <w:tcPr>
            <w:tcW w:type="dxa" w:w="1289"/>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289"/>
            <w:vAlign w:val="center"/>
          </w:tcPr>
          <w:p>
            <w:pPr>
              <w:spacing w:after="0" w:line="240" w:lineRule="auto"/>
            </w:pPr>
            <w:r>
              <w:rPr>
                <w:rFonts w:ascii="Arial" w:hAnsi="Arial"/>
                <w:color w:val="23303C"/>
                <w:sz w:val="14"/>
              </w:rPr>
              <w:t xml:space="preserve"> </w:t>
            </w:r>
          </w:p>
        </w:tc>
      </w:tr>
      <w:tr>
        <w:trPr>
          <w:cantSplit/>
          <w:trHeight w:val="547" w:hRule="atLeast"/>
        </w:trPr>
        <w:tc>
          <w:tcPr>
            <w:tcW w:type="dxa" w:w="1289"/>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289"/>
            <w:vAlign w:val="center"/>
          </w:tcPr>
          <w:p>
            <w:pPr>
              <w:spacing w:after="0" w:line="240" w:lineRule="auto"/>
            </w:pPr>
            <w:r>
              <w:rPr>
                <w:rFonts w:ascii="Arial" w:hAnsi="Arial"/>
                <w:color w:val="23303C"/>
                <w:sz w:val="14"/>
              </w:rPr>
              <w:t xml:space="preserve"> </w:t>
            </w:r>
          </w:p>
        </w:tc>
      </w:tr>
      <w:tr>
        <w:trPr>
          <w:cantSplit/>
          <w:trHeight w:val="547" w:hRule="atLeast"/>
        </w:trPr>
        <w:tc>
          <w:tcPr>
            <w:tcW w:type="dxa" w:w="1289"/>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289"/>
            <w:vAlign w:val="center"/>
          </w:tcPr>
          <w:p>
            <w:pPr>
              <w:spacing w:after="0" w:line="240" w:lineRule="auto"/>
            </w:pPr>
            <w:r>
              <w:rPr>
                <w:rFonts w:ascii="Arial" w:hAnsi="Arial"/>
                <w:color w:val="23303C"/>
                <w:sz w:val="14"/>
              </w:rPr>
              <w:t xml:space="preserve"> </w:t>
            </w:r>
          </w:p>
        </w:tc>
      </w:tr>
      <w:tr>
        <w:trPr>
          <w:cantSplit/>
          <w:trHeight w:val="547" w:hRule="atLeast"/>
        </w:trPr>
        <w:tc>
          <w:tcPr>
            <w:tcW w:type="dxa" w:w="1289"/>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289"/>
            <w:vAlign w:val="center"/>
          </w:tcPr>
          <w:p>
            <w:pPr>
              <w:spacing w:after="0" w:line="240" w:lineRule="auto"/>
            </w:pPr>
            <w:r>
              <w:rPr>
                <w:rFonts w:ascii="Arial" w:hAnsi="Arial"/>
                <w:color w:val="23303C"/>
                <w:sz w:val="14"/>
              </w:rPr>
              <w:t xml:space="preserve"> </w:t>
            </w:r>
          </w:p>
        </w:tc>
      </w:tr>
      <w:tr>
        <w:trPr>
          <w:cantSplit/>
          <w:trHeight w:val="547" w:hRule="atLeast"/>
        </w:trPr>
        <w:tc>
          <w:tcPr>
            <w:tcW w:type="dxa" w:w="1289"/>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289"/>
            <w:vAlign w:val="center"/>
          </w:tcPr>
          <w:p>
            <w:pPr>
              <w:spacing w:after="0" w:line="240" w:lineRule="auto"/>
            </w:pPr>
            <w:r>
              <w:rPr>
                <w:rFonts w:ascii="Arial" w:hAnsi="Arial"/>
                <w:color w:val="23303C"/>
                <w:sz w:val="14"/>
              </w:rPr>
              <w:t xml:space="preserve"> </w:t>
            </w:r>
          </w:p>
        </w:tc>
      </w:tr>
      <w:tr>
        <w:trPr>
          <w:cantSplit/>
          <w:trHeight w:val="547" w:hRule="atLeast"/>
        </w:trPr>
        <w:tc>
          <w:tcPr>
            <w:tcW w:type="dxa" w:w="1289"/>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2347"/>
            <w:vAlign w:val="center"/>
          </w:tcPr>
          <w:p>
            <w:pPr>
              <w:spacing w:after="0" w:line="240" w:lineRule="auto"/>
            </w:pPr>
            <w:r>
              <w:rPr>
                <w:rFonts w:ascii="Arial" w:hAnsi="Arial"/>
                <w:color w:val="23303C"/>
                <w:sz w:val="14"/>
              </w:rPr>
              <w:t xml:space="preserve"> </w:t>
            </w:r>
          </w:p>
        </w:tc>
        <w:tc>
          <w:tcPr>
            <w:tcW w:type="dxa" w:w="1653"/>
            <w:vAlign w:val="center"/>
          </w:tcPr>
          <w:p>
            <w:pPr>
              <w:spacing w:after="0" w:line="240" w:lineRule="auto"/>
            </w:pPr>
            <w:r>
              <w:rPr>
                <w:rFonts w:ascii="Arial" w:hAnsi="Arial"/>
                <w:color w:val="23303C"/>
                <w:sz w:val="14"/>
              </w:rPr>
              <w:t xml:space="preserve"> </w:t>
            </w:r>
          </w:p>
        </w:tc>
        <w:tc>
          <w:tcPr>
            <w:tcW w:type="dxa" w:w="1289"/>
            <w:vAlign w:val="center"/>
          </w:tcPr>
          <w:p>
            <w:pPr>
              <w:spacing w:after="0" w:line="240" w:lineRule="auto"/>
            </w:pPr>
            <w:r>
              <w:rPr>
                <w:rFonts w:ascii="Arial" w:hAnsi="Arial"/>
                <w:color w:val="23303C"/>
                <w:sz w:val="14"/>
              </w:rPr>
              <w:t xml:space="preserve"> </w:t>
            </w:r>
          </w:p>
        </w:tc>
      </w:tr>
    </w:tbl>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Water service test handover</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Record inspection handover status</w:t>
      </w:r>
    </w:p>
    <w:p>
      <w:pPr>
        <w:spacing w:after="80"/>
      </w:pPr>
      <w:r>
        <w:rPr>
          <w:rFonts w:ascii="Arial" w:hAnsi="Arial"/>
          <w:b w:val="0"/>
          <w:sz w:val="18"/>
        </w:rPr>
        <w:t>[  ] Record complete; source evidence linked</w:t>
      </w:r>
    </w:p>
    <w:p>
      <w:pPr>
        <w:spacing w:after="80"/>
      </w:pPr>
      <w:r>
        <w:rPr>
          <w:rFonts w:ascii="Arial" w:hAnsi="Arial"/>
          <w:b w:val="0"/>
          <w:sz w:val="18"/>
        </w:rPr>
        <w:t>[  ] Issue, repair, retest or project decision remains open</w:t>
      </w:r>
    </w:p>
    <w:p>
      <w:pPr>
        <w:spacing w:after="80"/>
      </w:pPr>
      <w:r>
        <w:rPr>
          <w:rFonts w:ascii="Arial" w:hAnsi="Arial"/>
          <w:b w:val="0"/>
          <w:sz w:val="18"/>
        </w:rPr>
        <w:t>[  ] Assigned project role review / disposition required</w:t>
      </w:r>
    </w:p>
    <w:p>
      <w:pPr>
        <w:spacing w:after="100"/>
      </w:pPr>
      <w:r>
        <w:rPr>
          <w:rFonts w:ascii="Arial" w:hAnsi="Arial"/>
          <w:b w:val="0"/>
          <w:sz w:val="18"/>
        </w:rPr>
        <w:t>This record indexes the section test and evidence only; it does not design the service, define test conditions, certify compliance or grant contractual release.</w:t>
      </w:r>
    </w:p>
    <w:p>
      <w:pPr>
        <w:spacing w:after="20"/>
      </w:pPr>
      <w:r>
        <w:rPr>
          <w:rFonts w:ascii="Arial" w:hAnsi="Arial"/>
          <w:b/>
          <w:sz w:val="20"/>
        </w:rPr>
        <w:t>Handover roles and references</w:t>
      </w:r>
    </w:p>
    <w:p>
      <w:pPr>
        <w:spacing w:after="100"/>
      </w:pPr>
      <w:r>
        <w:rPr>
          <w:rFonts w:ascii="Arial" w:hAnsi="Arial"/>
          <w:b w:val="0"/>
          <w:sz w:val="18"/>
        </w:rPr>
        <w:t>Test recorder / role / date  ______________________________________________</w:t>
      </w:r>
    </w:p>
    <w:p>
      <w:pPr>
        <w:spacing w:after="100"/>
      </w:pPr>
      <w:r>
        <w:rPr>
          <w:rFonts w:ascii="Arial" w:hAnsi="Arial"/>
          <w:b w:val="0"/>
          <w:sz w:val="18"/>
        </w:rPr>
        <w:t>Assigned plumbing reviewer / role / date  ______________________________________________</w:t>
      </w:r>
    </w:p>
    <w:p>
      <w:pPr>
        <w:spacing w:after="100"/>
      </w:pPr>
      <w:r>
        <w:rPr>
          <w:rFonts w:ascii="Arial" w:hAnsi="Arial"/>
          <w:b w:val="0"/>
          <w:sz w:val="18"/>
        </w:rPr>
        <w:t>Contractual witness / release role and reference if applicable  ______________________________________________</w:t>
      </w:r>
    </w:p>
    <w:p>
      <w:pPr>
        <w:spacing w:after="100"/>
      </w:pPr>
      <w:r>
        <w:rPr>
          <w:rFonts w:ascii="Arial" w:hAnsi="Arial"/>
          <w:b w:val="0"/>
          <w:sz w:val="18"/>
        </w:rPr>
        <w:t>Repair / NCR / retest / restoration evidence ref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ABCB, NCC 2022 Volume Three — Plumbing Code of Australia</w:t>
      </w:r>
    </w:p>
    <w:p>
      <w:pPr>
        <w:spacing w:after="20"/>
      </w:pPr>
      <w:r>
        <w:rPr>
          <w:rFonts w:ascii="Arial" w:hAnsi="Arial"/>
          <w:b w:val="0"/>
          <w:sz w:val="18"/>
        </w:rPr>
        <w:t>Role: Official scope and jurisdictional topic framework; does not provide project-specific field test acceptance values.</w:t>
      </w:r>
    </w:p>
    <w:p>
      <w:pPr>
        <w:spacing w:after="20"/>
      </w:pPr>
      <w:r>
        <w:rPr>
          <w:rFonts w:ascii="Arial" w:hAnsi="Arial"/>
          <w:b w:val="0"/>
          <w:sz w:val="18"/>
        </w:rPr>
        <w:t>Locator: Section B water services and Section C sanitary plumbing and drainage; volume includes jurisdiction schedules.</w:t>
      </w:r>
    </w:p>
    <w:p>
      <w:pPr>
        <w:spacing w:after="100"/>
      </w:pPr>
      <w:r>
        <w:rPr>
          <w:rFonts w:ascii="Arial" w:hAnsi="Arial"/>
          <w:b w:val="0"/>
          <w:sz w:val="18"/>
        </w:rPr>
        <w:t>Source URL: https://ncc.abcb.gov.au/editions/ncc-2022/adopted/volume-three</w:t>
      </w:r>
    </w:p>
    <w:p>
      <w:pPr>
        <w:spacing w:after="20"/>
      </w:pPr>
      <w:r>
        <w:rPr>
          <w:rFonts w:ascii="Arial" w:hAnsi="Arial"/>
          <w:b/>
          <w:sz w:val="20"/>
        </w:rPr>
        <w:t>ABCB, NCC 2022 Volume Three Schedule 2 — Referenced documents</w:t>
      </w:r>
    </w:p>
    <w:p>
      <w:pPr>
        <w:spacing w:after="20"/>
      </w:pPr>
      <w:r>
        <w:rPr>
          <w:rFonts w:ascii="Arial" w:hAnsi="Arial"/>
          <w:b w:val="0"/>
          <w:sz w:val="18"/>
        </w:rPr>
        <w:t>Role: Reference-edition pointer only; full Standards not inspected and project adoption must be checked.</w:t>
      </w:r>
    </w:p>
    <w:p>
      <w:pPr>
        <w:spacing w:after="20"/>
      </w:pPr>
      <w:r>
        <w:rPr>
          <w:rFonts w:ascii="Arial" w:hAnsi="Arial"/>
          <w:b w:val="0"/>
          <w:sz w:val="18"/>
        </w:rPr>
        <w:t>Locator: AS/NZS 3500 Parts 1–4:2021 titles and NCC clause pointers by service type.</w:t>
      </w:r>
    </w:p>
    <w:p>
      <w:pPr>
        <w:spacing w:after="100"/>
      </w:pPr>
      <w:r>
        <w:rPr>
          <w:rFonts w:ascii="Arial" w:hAnsi="Arial"/>
          <w:b w:val="0"/>
          <w:sz w:val="18"/>
        </w:rPr>
        <w:t>Source URL: https://ncc.abcb.gov.au/editions/ncc-2022/adopted/volume-three/2-referenced-documents/referenced-documents</w:t>
      </w:r>
    </w:p>
    <w:p>
      <w:pPr>
        <w:spacing w:after="20"/>
      </w:pPr>
      <w:r>
        <w:rPr>
          <w:rFonts w:ascii="Arial" w:hAnsi="Arial"/>
          <w:b/>
          <w:sz w:val="20"/>
        </w:rPr>
        <w:t>ABCB, Editions of the National Construction Code</w:t>
      </w:r>
    </w:p>
    <w:p>
      <w:pPr>
        <w:spacing w:after="20"/>
      </w:pPr>
      <w:r>
        <w:rPr>
          <w:rFonts w:ascii="Arial" w:hAnsi="Arial"/>
          <w:b w:val="0"/>
          <w:sz w:val="18"/>
        </w:rPr>
        <w:t>Role: Edition/adoption context; check actual jurisdiction, transition and project approvals.</w:t>
      </w:r>
    </w:p>
    <w:p>
      <w:pPr>
        <w:spacing w:after="20"/>
      </w:pPr>
      <w:r>
        <w:rPr>
          <w:rFonts w:ascii="Arial" w:hAnsi="Arial"/>
          <w:b w:val="0"/>
          <w:sz w:val="18"/>
        </w:rPr>
        <w:t>Locator: NCC 2022 Amendment 2 adoption and edition transition notes.</w:t>
      </w:r>
    </w:p>
    <w:p>
      <w:pPr>
        <w:spacing w:after="100"/>
      </w:pPr>
      <w:r>
        <w:rPr>
          <w:rFonts w:ascii="Arial" w:hAnsi="Arial"/>
          <w:b w:val="0"/>
          <w:sz w:val="18"/>
        </w:rPr>
        <w:t>Source URL: https://ncc.abcb.gov.au/editions-national-construction-code</w:t>
      </w:r>
    </w:p>
    <w:p>
      <w:pPr>
        <w:spacing w:after="20"/>
      </w:pPr>
      <w:r>
        <w:rPr>
          <w:rFonts w:ascii="Arial" w:hAnsi="Arial"/>
          <w:b/>
          <w:sz w:val="20"/>
        </w:rPr>
        <w:t>WA Plumbers Licensing Board, Pipe sizing and commissioning</w:t>
      </w:r>
    </w:p>
    <w:p>
      <w:pPr>
        <w:spacing w:after="20"/>
      </w:pPr>
      <w:r>
        <w:rPr>
          <w:rFonts w:ascii="Arial" w:hAnsi="Arial"/>
          <w:b w:val="0"/>
          <w:sz w:val="18"/>
        </w:rPr>
        <w:t>Role: WA-specific topic support for section isolation, pressure-test readings, leakage repair and retest. No numeric settings or procedure are transferred to this general record; verify current applicable project and jurisdiction requirements.</w:t>
      </w:r>
    </w:p>
    <w:p>
      <w:pPr>
        <w:spacing w:after="20"/>
      </w:pPr>
      <w:r>
        <w:rPr>
          <w:rFonts w:ascii="Arial" w:hAnsi="Arial"/>
          <w:b w:val="0"/>
          <w:sz w:val="18"/>
        </w:rPr>
        <w:t>Locator: Version 4, May 2023: page 4 Testing and commissioning of water services; page 5 WA scope notes</w:t>
      </w:r>
    </w:p>
    <w:p>
      <w:pPr>
        <w:spacing w:after="100"/>
      </w:pPr>
      <w:r>
        <w:rPr>
          <w:rFonts w:ascii="Arial" w:hAnsi="Arial"/>
          <w:b w:val="0"/>
          <w:sz w:val="18"/>
        </w:rPr>
        <w:t>Source URL: https://www.wa.gov.au/media/54256/download</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https://itp.cavoren.net/checklists/water-pressure-test/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FIELD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