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Utility Trench Bedding, Backfill and Cover Record</w:t>
      </w:r>
    </w:p>
    <w:p>
      <w:pPr>
        <w:spacing w:after="100"/>
      </w:pPr>
      <w:r>
        <w:rPr>
          <w:rFonts w:ascii="Arial" w:hAnsi="Arial"/>
          <w:b/>
          <w:sz w:val="20"/>
        </w:rPr>
        <w:t>Blank project field record  |  Complete from current approved documents and site observations</w:t>
      </w:r>
    </w:p>
    <w:p>
      <w:pPr>
        <w:spacing w:after="20"/>
      </w:pPr>
      <w:r>
        <w:rPr>
          <w:rFonts w:ascii="Arial" w:hAnsi="Arial"/>
          <w:b/>
          <w:sz w:val="22"/>
        </w:rPr>
        <w:t>Scope</w:t>
      </w:r>
    </w:p>
    <w:p>
      <w:pPr>
        <w:spacing w:after="60"/>
      </w:pPr>
      <w:r>
        <w:rPr>
          <w:rFonts w:ascii="Arial" w:hAnsi="Arial"/>
          <w:b w:val="0"/>
          <w:sz w:val="18"/>
        </w:rPr>
        <w:t>Included: Inspection of an identified utility trench reach from prepared support through staged bedding/surround, backfill layers and cover handover, including service identity, layer and lot traceability, compaction-report links, pipe/conduit protection, separation and as-built evidence.</w:t>
      </w:r>
    </w:p>
    <w:p>
      <w:pPr>
        <w:spacing w:after="60"/>
      </w:pPr>
      <w:r>
        <w:rPr>
          <w:rFonts w:ascii="Arial" w:hAnsi="Arial"/>
          <w:b w:val="0"/>
          <w:sz w:val="18"/>
        </w:rPr>
        <w:t>Excluded: utility design, trench shoring/excavation safety design, pipe pressure/leak/CCTV/continuity testing, commissioning or certification, and compaction acceptance testing except for linking separate approved test evidence.</w:t>
      </w:r>
    </w:p>
    <w:p>
      <w:pPr>
        <w:spacing w:after="20"/>
      </w:pPr>
      <w:r>
        <w:rPr>
          <w:rFonts w:ascii="Arial" w:hAnsi="Arial"/>
          <w:b/>
          <w:sz w:val="22"/>
        </w:rPr>
        <w:t>Use and project setup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Project / jurisdiction / contractor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Utility type / asset owner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Drawing / revision / profile ref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Reach ID / from-to chainage or nodes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Pipe / conduit material / size / joint system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Bedding / surround material source ref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Crossing / separation / protection detail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Cover measurement location / unit / source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Test / survey / photo / as-built refs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Pre-cover notice / issue / disposition refs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Approved utility plans, profiles and details — Identify each reach, material/size, design levels, crossings, protection and required cover source.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Utility owner and project installation requirements — Confirm service-specific bedding/surround, separation, cover and inspection expectations.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Approved product and material submittals — Identify installed pipe/conduit and specified embedment/backfill products.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Trench work method and temporary works controls — Coordinate inspection access with the project excavation and temporary support arrangements; this form is not a safety inspection or design.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Pre-cover inspection and testing schedule — Identify required notice, witness, release, tests and responsible project/asset-owner role.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As-built survey and defect process — Define required location/cover records, photos, repair disposition and transfer to asset records.</w:t>
      </w:r>
    </w:p>
    <w:p>
      <w:pPr>
        <w:spacing w:after="20"/>
      </w:pPr>
      <w:r>
        <w:rPr>
          <w:rFonts w:ascii="Arial" w:hAnsi="Arial"/>
          <w:b/>
          <w:sz w:val="22"/>
        </w:rPr>
        <w:t>How to use</w:t>
      </w:r>
    </w:p>
    <w:p>
      <w:pPr>
        <w:spacing w:after="40"/>
      </w:pPr>
      <w:r>
        <w:rPr>
          <w:rFonts w:ascii="Arial" w:hAnsi="Arial"/>
          <w:b w:val="0"/>
          <w:sz w:val="18"/>
        </w:rPr>
        <w:t>1. Use a separate record for each defined reach or project inspection lot; identify service and endpoints before recording checks.</w:t>
      </w:r>
    </w:p>
    <w:p>
      <w:pPr>
        <w:spacing w:after="40"/>
      </w:pPr>
      <w:r>
        <w:rPr>
          <w:rFonts w:ascii="Arial" w:hAnsi="Arial"/>
          <w:b w:val="0"/>
          <w:sz w:val="18"/>
        </w:rPr>
        <w:t>2. Inspect and record the visible work stage before it is concealed; locate photos and measurements to the reach and point.</w:t>
      </w:r>
    </w:p>
    <w:p>
      <w:pPr>
        <w:spacing w:after="40"/>
      </w:pPr>
      <w:r>
        <w:rPr>
          <w:rFonts w:ascii="Arial" w:hAnsi="Arial"/>
          <w:b w:val="0"/>
          <w:sz w:val="18"/>
        </w:rPr>
        <w:t>3. Record actual materials and observed cover/support separately from the design requirement and its source.</w:t>
      </w:r>
    </w:p>
    <w:p>
      <w:pPr>
        <w:spacing w:after="40"/>
      </w:pPr>
      <w:r>
        <w:rPr>
          <w:rFonts w:ascii="Arial" w:hAnsi="Arial"/>
          <w:b w:val="0"/>
          <w:sz w:val="18"/>
        </w:rPr>
        <w:t>4. Link separate pipe test or compaction reports by their identifiers; do not treat this sheet as those test certificates.</w:t>
      </w:r>
    </w:p>
    <w:p>
      <w:pPr>
        <w:spacing w:after="40"/>
      </w:pPr>
      <w:r>
        <w:rPr>
          <w:rFonts w:ascii="Arial" w:hAnsi="Arial"/>
          <w:b w:val="0"/>
          <w:sz w:val="18"/>
        </w:rPr>
        <w:t>5. Record unresolved protection, clearance, damage, missing test or notice evidence as open before backfill/cover handover.</w:t>
      </w:r>
    </w:p>
    <w:p>
      <w:pPr>
        <w:spacing w:after="0"/>
      </w:pPr>
      <w:r>
        <w:rPr>
          <w:rFonts w:ascii="Arial" w:hAnsi="Arial"/>
          <w:b w:val="0"/>
          <w:sz w:val="16"/>
        </w:rPr>
        <w:t>Important: Blank field record. Confirm service-specific material, support, cover, separation and inspection requirements from approved project documents. This record does not certify pipe testing, shoring safety or utility design, and does not create a statutory or contractual release.</w:t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TB-01  Reach identity, service and approved detail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Service type, asset owner, reach endpoints, drawing/profile revision, material/size and installation stage.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Trace the installed reach between visible endpoints to approved plans and asset schedule before inspection entries are made.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recorded segment and service are uniquely identifiable to current approved documents and the actual inspection extent.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Current utility plan/profile, approved material schedule and inspection lot definition.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Utility / reach / endpoints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Drawing revision / detail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Asset owner / interface party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TB-02  Prepared trench support and bedding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Observed trench bottom/support condition, water or loose material, bedding material/source and installed geometry where observable.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 the exposed reach and link material delivery/source and level/setting evidence; record project-required detail and actual observation separately.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Support and bedding are checked only against the service-specific approved drawing/specification and documented site evidence; no universal depth/thickness is set.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Utility installation detail, material submittal, project specification and geotechnical/groundwater direction if applicable.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Support condition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Bedding material / source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Level / photo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TB-03  Pipe/conduit condition, alignment and joint protection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Visible damage, joint position, line/level or alignment observations, temporary caps/protection and handling condition before surround.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 before concealment, locate each finding and record actual measurement only where an approved reference and method are identified.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Installed reach remains traceable and observable condition is compared with approved utility requirements; this is not a pressure, leak or continuity test.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utility drawings, product installation instructions and actual pre-cover observation records.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Joint / point /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Alignment / damage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Measurement / unit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TB-04  Surround, haunch and service separation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Specified surround material and extent, observed placement around service, other services/crossings and required protection/slabs/markers.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Check visible installation against approved cross-section and crossing details; link photos and survey before cover blocks sight of interfaces.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Surround, separation and protective measures match the project detail and current asset-owner requirements; no generic clearance or cover value is implied.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cross-sections, service coordination drawings, asset-owner requirements and product installation detail.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Material / source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Crossing /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Separation observation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Protection detail / photo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TB-05  Staged backfill, cover and reinstatement evidence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Backfill material/source by stage, lot/layer identity, specified and actual layer thickness/placement where required, actual cover point and unit, final surface condition and separate compaction evidence.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Record each staged placement against the project lot/layer definition, method and drawing; transcribe actual thickness and cover only from observed or surveyed evidence with units and locations. Link separate compaction reports and assigned review; retain final surface/as-built evidence.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represented lot/layer, placement, cover and final surface evidence are traceable and compared only with applicable project criteria. Layer thickness, cover, compaction result and acceptance remain project-defined. Compaction requires a separate approved test record and assigned review.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profile/detail and layer/cover criteria, material records, placement log, separate compaction reports and assigned review, survey and as-built requirements.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Backfill material / source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Lot / layer / placement stage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Layer thickness / unit / point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Cover point /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cover / unit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Criterion source / clause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Compaction report / review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Final surface / as-built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TB-06  Pre-cover testing, notice and reach handover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Required separate service tests, inspection notice, witness/release documentation, photos, repairs and as-built references.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Index each independent test/report and inspection record by reach; reconcile open issues and notice conditions with the contract/asset-owner schedule.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This record documents links and status only. It does not certify pipe tests, shoring, design, statutory inspections or grant a contractual release.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inspection and test plan, utility-owner procedures, notice schedule, as-built and NCR requirements.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Test report / ID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Notice / release role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Repair / disposition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As-built / survey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0"/>
        </w:rPr>
        <w:t>Utility trench reach, cover and pre-cover log</w:t>
      </w:r>
    </w:p>
    <w:p>
      <w:pPr>
        <w:spacing w:after="80"/>
      </w:pPr>
      <w:r>
        <w:rPr>
          <w:rFonts w:ascii="Arial" w:hAnsi="Arial"/>
          <w:b w:val="0"/>
          <w:sz w:val="17"/>
        </w:rPr>
        <w:t>Use one row per reach or inspection stage. Keep design details separate from actual observations and measurements. Link each lot/layer placement to separate utility test and compaction reports; this log is not a certification or release.</w:t>
      </w:r>
    </w:p>
    <w:p>
      <w:pPr>
        <w:spacing w:after="40"/>
      </w:pPr>
      <w:r>
        <w:rPr>
          <w:rFonts w:ascii="Arial" w:hAnsi="Arial"/>
          <w:b w:val="0"/>
          <w:sz w:val="16"/>
        </w:rPr>
        <w:t>Project / contract: ______________________________    Element / pour / lot: ______________________________    Date / shift: ____________________</w:t>
      </w:r>
    </w:p>
    <w:p>
      <w:pPr>
        <w:spacing w:after="80"/>
      </w:pPr>
      <w:r>
        <w:rPr>
          <w:rFonts w:ascii="Arial" w:hAnsi="Arial"/>
          <w:b w:val="0"/>
          <w:sz w:val="16"/>
        </w:rPr>
        <w:t>Location / area: ______________________________    Record reference / revision: 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554"/>
        <w:gridCol w:w="1554"/>
        <w:gridCol w:w="1554"/>
        <w:gridCol w:w="1554"/>
        <w:gridCol w:w="1554"/>
        <w:gridCol w:w="1554"/>
        <w:gridCol w:w="1554"/>
        <w:gridCol w:w="1554"/>
        <w:gridCol w:w="1554"/>
        <w:gridCol w:w="1554"/>
      </w:tblGrid>
      <w:tr>
        <w:trPr>
          <w:trHeight w:val="691" w:hRule="atLeast"/>
          <w:tblHeader w:val="true"/>
          <w:cantSplit/>
        </w:trPr>
        <w:tc>
          <w:tcPr>
            <w:tcW w:type="dxa" w:w="1214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Date / stage</w:t>
            </w:r>
          </w:p>
        </w:tc>
        <w:tc>
          <w:tcPr>
            <w:tcW w:type="dxa" w:w="1557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Utility / owner</w:t>
            </w:r>
          </w:p>
        </w:tc>
        <w:tc>
          <w:tcPr>
            <w:tcW w:type="dxa" w:w="1557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Reach / location</w:t>
            </w:r>
          </w:p>
        </w:tc>
        <w:tc>
          <w:tcPr>
            <w:tcW w:type="dxa" w:w="1557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Drawing / detail revision</w:t>
            </w:r>
          </w:p>
        </w:tc>
        <w:tc>
          <w:tcPr>
            <w:tcW w:type="dxa" w:w="1557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Lot / layer / stage</w:t>
            </w:r>
          </w:p>
        </w:tc>
        <w:tc>
          <w:tcPr>
            <w:tcW w:type="dxa" w:w="1557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Material / source / thickness</w:t>
            </w:r>
          </w:p>
        </w:tc>
        <w:tc>
          <w:tcPr>
            <w:tcW w:type="dxa" w:w="1557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Joint / protection / crossing</w:t>
            </w:r>
          </w:p>
        </w:tc>
        <w:tc>
          <w:tcPr>
            <w:tcW w:type="dxa" w:w="1557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Cover / value / unit / point</w:t>
            </w:r>
          </w:p>
        </w:tc>
        <w:tc>
          <w:tcPr>
            <w:tcW w:type="dxa" w:w="2211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Test / compaction / survey ref</w:t>
            </w:r>
          </w:p>
        </w:tc>
        <w:tc>
          <w:tcPr>
            <w:tcW w:type="dxa" w:w="1214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Issue / notice / role / status</w:t>
            </w:r>
          </w:p>
        </w:tc>
      </w:tr>
      <w:tr>
        <w:trPr>
          <w:cantSplit/>
          <w:trHeight w:val="547" w:hRule="atLeast"/>
        </w:trPr>
        <w:tc>
          <w:tcPr>
            <w:tcW w:type="dxa" w:w="121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1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21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1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21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1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21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1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21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1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21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1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21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1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21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1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21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1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21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55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1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Issues and corrective action</w:t>
      </w:r>
    </w:p>
    <w:p>
      <w:pPr>
        <w:spacing w:after="100"/>
      </w:pPr>
      <w:r>
        <w:rPr>
          <w:rFonts w:ascii="Arial" w:hAnsi="Arial"/>
          <w:b w:val="0"/>
          <w:sz w:val="16"/>
        </w:rPr>
        <w:t>Project: _____________________  Location / room / element: _____________________  Inspection date: 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8"/>
        <w:gridCol w:w="3108"/>
        <w:gridCol w:w="3108"/>
        <w:gridCol w:w="3108"/>
        <w:gridCol w:w="3108"/>
      </w:tblGrid>
      <w:tr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Item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Issue and immediate action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Disposition / corrective instruction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Recheck evidence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Responsible role / reference</w:t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</w:tbl>
    <w:p>
      <w:pPr>
        <w:spacing w:after="80"/>
      </w:pPr>
      <w:r>
        <w:rPr>
          <w:rFonts w:ascii="Arial" w:hAnsi="Arial"/>
          <w:b/>
          <w:sz w:val="16"/>
        </w:rPr>
        <w:t>Unresolved items: identify affected area, status, person notified, instruction / NCR reference and any condition before concealment or next work.</w:t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Utility reach pre-cover handover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Date: _____________________</w:t>
      </w:r>
    </w:p>
    <w:p>
      <w:pPr>
        <w:spacing w:after="40"/>
      </w:pPr>
      <w:r>
        <w:rPr>
          <w:rFonts w:ascii="Arial" w:hAnsi="Arial"/>
          <w:b/>
          <w:sz w:val="20"/>
        </w:rPr>
        <w:t>Record reach status</w:t>
      </w:r>
    </w:p>
    <w:p>
      <w:pPr>
        <w:spacing w:after="80"/>
      </w:pPr>
      <w:r>
        <w:rPr>
          <w:rFonts w:ascii="Arial" w:hAnsi="Arial"/>
          <w:b w:val="0"/>
          <w:sz w:val="18"/>
        </w:rPr>
        <w:t>[  ] Inspection evidence linked; project handover recorded</w:t>
      </w:r>
    </w:p>
    <w:p>
      <w:pPr>
        <w:spacing w:after="80"/>
      </w:pPr>
      <w:r>
        <w:rPr>
          <w:rFonts w:ascii="Arial" w:hAnsi="Arial"/>
          <w:b w:val="0"/>
          <w:sz w:val="18"/>
        </w:rPr>
        <w:t>[  ] Repair, separate test, cover or as-built item remains open</w:t>
      </w:r>
    </w:p>
    <w:p>
      <w:pPr>
        <w:spacing w:after="80"/>
      </w:pPr>
      <w:r>
        <w:rPr>
          <w:rFonts w:ascii="Arial" w:hAnsi="Arial"/>
          <w:b w:val="0"/>
          <w:sz w:val="18"/>
        </w:rPr>
        <w:t>[  ] Asset-owner/project decision or notice evidence required</w:t>
      </w:r>
    </w:p>
    <w:p>
      <w:pPr>
        <w:spacing w:after="100"/>
      </w:pPr>
      <w:r>
        <w:rPr>
          <w:rFonts w:ascii="Arial" w:hAnsi="Arial"/>
          <w:b w:val="0"/>
          <w:sz w:val="18"/>
        </w:rPr>
        <w:t>This record logs visible installation and evidence references only. It does not certify a pipe test, approve utility design, assess shoring, establish universal cover/separation criteria or grant statutory/contractual release.</w:t>
      </w:r>
    </w:p>
    <w:p>
      <w:pPr>
        <w:spacing w:after="20"/>
      </w:pPr>
      <w:r>
        <w:rPr>
          <w:rFonts w:ascii="Arial" w:hAnsi="Arial"/>
          <w:b/>
          <w:sz w:val="20"/>
        </w:rPr>
        <w:t>Handover roles and references</w:t>
      </w:r>
    </w:p>
    <w:p>
      <w:pPr>
        <w:spacing w:after="100"/>
      </w:pPr>
      <w:r>
        <w:rPr>
          <w:rFonts w:ascii="Arial" w:hAnsi="Arial"/>
          <w:b w:val="0"/>
          <w:sz w:val="18"/>
        </w:rPr>
        <w:t>Installer / utility role / reach and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Field inspector / role / pre-cover evidence ref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Separate pipe-test report / issuing party / reference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Assigned asset-owner/project reviewer / notice or decision ref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Open repair / NCR / survey / as-built references  ______________________________________________</w:t>
      </w:r>
    </w:p>
    <w:p>
      <w:pPr>
        <w:spacing w:after="0"/>
      </w:pPr>
      <w:r>
        <w:rPr>
          <w:rFonts w:ascii="Arial" w:hAnsi="Arial"/>
          <w:b w:val="0"/>
          <w:sz w:val="18"/>
        </w:rPr>
        <w:t>Signatures record the named person’s stated role and entry only. They do not by themselves approve design, certify compliance, release a contractual control point or authorize the next activity.</w:t>
      </w:r>
    </w:p>
    <w:p>
      <w:r>
        <w:br w:type="page"/>
      </w:r>
    </w:p>
    <w:p>
      <w:pPr>
        <w:spacing w:after="80"/>
      </w:pPr>
      <w:r>
        <w:rPr>
          <w:rFonts w:ascii="Arial" w:hAnsi="Arial"/>
          <w:b/>
          <w:sz w:val="34"/>
        </w:rPr>
        <w:t>Source notes</w:t>
      </w:r>
    </w:p>
    <w:p>
      <w:pPr>
        <w:spacing w:after="160"/>
      </w:pPr>
      <w:r>
        <w:rPr>
          <w:rFonts w:ascii="Arial" w:hAnsi="Arial"/>
          <w:b w:val="0"/>
          <w:sz w:val="18"/>
        </w:rPr>
        <w:t>These references explain topic and record design. They do not supply universal project acceptance values. Confirm the contract documents, applicable jurisdiction and approved product/system before use.</w:t>
      </w:r>
    </w:p>
    <w:p>
      <w:pPr>
        <w:spacing w:after="20"/>
      </w:pPr>
      <w:r>
        <w:rPr>
          <w:rFonts w:ascii="Arial" w:hAnsi="Arial"/>
          <w:b/>
          <w:sz w:val="20"/>
        </w:rPr>
        <w:t>Cavoren earthworks baseline</w:t>
      </w:r>
    </w:p>
    <w:p>
      <w:pPr>
        <w:spacing w:after="20"/>
      </w:pPr>
      <w:r>
        <w:rPr>
          <w:rFonts w:ascii="Arial" w:hAnsi="Arial"/>
          <w:b w:val="0"/>
          <w:sz w:val="18"/>
        </w:rPr>
        <w:t>Role: Scope context only; not a project specification, design or acceptance criteria.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Original reusable topic baseline for earthworks field records; process and evidence prompts only.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https://itp.cavoren.net/templates/bulk-earthworks/</w:t>
      </w:r>
    </w:p>
    <w:p>
      <w:pPr>
        <w:spacing w:after="20"/>
      </w:pPr>
      <w:r>
        <w:rPr>
          <w:rFonts w:ascii="Arial" w:hAnsi="Arial"/>
          <w:b/>
          <w:sz w:val="20"/>
        </w:rPr>
        <w:t>Queensland Department of Transport and Main Roads, MRTS04 General Earthworks (March 2025)</w:t>
      </w:r>
    </w:p>
    <w:p>
      <w:pPr>
        <w:spacing w:after="20"/>
      </w:pPr>
      <w:r>
        <w:rPr>
          <w:rFonts w:ascii="Arial" w:hAnsi="Arial"/>
          <w:b w:val="0"/>
          <w:sz w:val="18"/>
        </w:rPr>
        <w:t>Role: Conditional topic reference for Queensland roadworks/bridgeworks where this edition is adopted. No numeric compaction target, layer thickness, test rate, tolerance, test method or hold/witness point from MRTS04 is generalized into this form.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March 2025, Clauses 1.1–1.2 (roadworks/bridgeworks scope); 13.3.3.4 (bottom of confined excavation); 15.1–15.3 and Tables 15.2–15.3 (compaction methods, layers and compliance testing); 19.1–19.3 including 19.3.4 (backfill adjacent to assets and pipe culverts); 21.1–21.1.2 (subgrade construction and levels); Appendix A (testing frequencies).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tmr.qld.gov.au/-/media/busind/techstdpubs/specifications-and-drawings/specifications/3-roadworks-drainage-culverts-and-geotechnical/mrts04.pdf?extension=pdf&amp;hash=840B4677F54FF4F65E5C80A7EF563206&amp;rev=d832abe7f4fb4ca1bb13425291c3faca&amp;sc_lang=en&amp;size=2763810</w:t>
      </w:r>
    </w:p>
    <w:p>
      <w:pPr>
        <w:spacing w:after="20"/>
      </w:pPr>
      <w:r>
        <w:rPr>
          <w:rFonts w:ascii="Arial" w:hAnsi="Arial"/>
          <w:b/>
          <w:sz w:val="20"/>
        </w:rPr>
        <w:t>Hutchies 010 Groundworks Report (public Word example)</w:t>
      </w:r>
    </w:p>
    <w:p>
      <w:pPr>
        <w:spacing w:after="20"/>
      </w:pPr>
      <w:r>
        <w:rPr>
          <w:rFonts w:ascii="Arial" w:hAnsi="Arial"/>
          <w:b w:val="0"/>
          <w:sz w:val="18"/>
        </w:rPr>
        <w:t>Role: Contractor-specific example for record structure and work stages only; blank fields do not establish universal criteria. No source wording or values are reproduced.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Public report template. Broad sequence and evidence concepts: set-out, excavation/founding, fill/backfill, compaction/density, beds and final review.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https://toolbox.hutchies.com.au/uploads/010-Groundworks-Report.docx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792" w:right="648" w:bottom="691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167C80"/>
        <w:sz w:val="14"/>
      </w:rPr>
      <w:t xml:space="preserve">https://itp.cavoren.net/checklists/trench-backfill/  |  Project: __________________________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167C80"/>
        <w:sz w:val="16"/>
      </w:rPr>
      <w:t>CAVOREN  |  FIELD RECORD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3303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