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Construction Nonconformance Report and Corrective Action Record</w:t>
      </w:r>
    </w:p>
    <w:p>
      <w:pPr>
        <w:spacing w:after="100"/>
      </w:pPr>
      <w:r>
        <w:rPr>
          <w:rFonts w:ascii="Arial" w:hAnsi="Arial"/>
          <w:b/>
          <w:sz w:val="20"/>
        </w:rPr>
        <w:t>Blank quality workflow record  |  Enter only project-defined actions and events supported by current records</w:t>
      </w:r>
    </w:p>
    <w:p>
      <w:pPr>
        <w:spacing w:after="20"/>
      </w:pPr>
      <w:r>
        <w:rPr>
          <w:rFonts w:ascii="Arial" w:hAnsi="Arial"/>
          <w:b/>
          <w:sz w:val="22"/>
        </w:rPr>
        <w:t>Scope</w:t>
      </w:r>
    </w:p>
    <w:p>
      <w:pPr>
        <w:spacing w:after="60"/>
      </w:pPr>
      <w:r>
        <w:rPr>
          <w:rFonts w:ascii="Arial" w:hAnsi="Arial"/>
          <w:b w:val="0"/>
          <w:sz w:val="18"/>
        </w:rPr>
        <w:t>Included: Cross-trade construction quality reporting for an identified departure from a contract, specification, approved drawing, approved submittal, ITP or other project-controlled requirement. Records the source requirement, objective evidence, affected extent, notifications, project-directed controls, authorised disposition, action evidence, recheck and closure decision.</w:t>
      </w:r>
    </w:p>
    <w:p>
      <w:pPr>
        <w:spacing w:after="60"/>
      </w:pPr>
      <w:r>
        <w:rPr>
          <w:rFonts w:ascii="Arial" w:hAnsi="Arial"/>
          <w:b w:val="0"/>
          <w:sz w:val="18"/>
        </w:rPr>
        <w:t>Excluded: Designing a remedy, deciding whether work complies, authorising a concession or use-as-is, issuing an engineering or contractual direction, assigning statutory responsibilities, setting test criteria, or releasing work for concealment or follow-on activity. Use the project process and the person with authority under the contract.</w:t>
      </w:r>
    </w:p>
    <w:p>
      <w:pPr>
        <w:spacing w:after="20"/>
      </w:pPr>
      <w:r>
        <w:rPr>
          <w:rFonts w:ascii="Arial" w:hAnsi="Arial"/>
          <w:b/>
          <w:sz w:val="22"/>
        </w:rPr>
        <w:t>Use and project setup</w:t>
      </w:r>
    </w:p>
    <w:p>
      <w:pPr>
        <w:spacing w:after="40"/>
      </w:pPr>
      <w:r>
        <w:rPr>
          <w:rFonts w:ascii="Arial" w:hAnsi="Arial"/>
          <w:b w:val="0"/>
          <w:sz w:val="18"/>
        </w:rPr>
        <w:t>Project field: Project / contract / contractor  ______________________________________________</w:t>
      </w:r>
    </w:p>
    <w:p>
      <w:pPr>
        <w:spacing w:after="40"/>
      </w:pPr>
      <w:r>
        <w:rPr>
          <w:rFonts w:ascii="Arial" w:hAnsi="Arial"/>
          <w:b w:val="0"/>
          <w:sz w:val="18"/>
        </w:rPr>
        <w:t>Project field: NCR number / issue date / revision  ______________________________________________</w:t>
      </w:r>
    </w:p>
    <w:p>
      <w:pPr>
        <w:spacing w:after="40"/>
      </w:pPr>
      <w:r>
        <w:rPr>
          <w:rFonts w:ascii="Arial" w:hAnsi="Arial"/>
          <w:b w:val="0"/>
          <w:sz w:val="18"/>
        </w:rPr>
        <w:t>Project field: Trade / subcontractor / responsible contact  ______________________________________________</w:t>
      </w:r>
    </w:p>
    <w:p>
      <w:pPr>
        <w:spacing w:after="40"/>
      </w:pPr>
      <w:r>
        <w:rPr>
          <w:rFonts w:ascii="Arial" w:hAnsi="Arial"/>
          <w:b w:val="0"/>
          <w:sz w:val="18"/>
        </w:rPr>
        <w:t>Project field: Area / level / grid / asset / lot  ______________________________________________</w:t>
      </w:r>
    </w:p>
    <w:p>
      <w:pPr>
        <w:spacing w:after="40"/>
      </w:pPr>
      <w:r>
        <w:rPr>
          <w:rFonts w:ascii="Arial" w:hAnsi="Arial"/>
          <w:b w:val="0"/>
          <w:sz w:val="18"/>
        </w:rPr>
        <w:t>Project field: Requirement source / document revision / clause  ______________________________________________</w:t>
      </w:r>
    </w:p>
    <w:p>
      <w:pPr>
        <w:spacing w:after="40"/>
      </w:pPr>
      <w:r>
        <w:rPr>
          <w:rFonts w:ascii="Arial" w:hAnsi="Arial"/>
          <w:b w:val="0"/>
          <w:sz w:val="18"/>
        </w:rPr>
        <w:t>Project field: Related ITP / inspection / test / drawing / submission  ______________________________________________</w:t>
      </w:r>
    </w:p>
    <w:p>
      <w:pPr>
        <w:spacing w:after="40"/>
      </w:pPr>
      <w:r>
        <w:rPr>
          <w:rFonts w:ascii="Arial" w:hAnsi="Arial"/>
          <w:b w:val="0"/>
          <w:sz w:val="18"/>
        </w:rPr>
        <w:t>Project field: Notification route / project response reference  ______________________________________________</w:t>
      </w:r>
    </w:p>
    <w:p>
      <w:pPr>
        <w:spacing w:after="20"/>
      </w:pPr>
      <w:r>
        <w:rPr>
          <w:rFonts w:ascii="Arial" w:hAnsi="Arial"/>
          <w:b w:val="0"/>
          <w:sz w:val="16"/>
        </w:rPr>
        <w:t>Before inspection: Project NCR procedure and status definitions — Use the current project forms, required response times, notification rules, roles and closure sequence. This record does not replace them.</w:t>
      </w:r>
    </w:p>
    <w:p>
      <w:pPr>
        <w:spacing w:after="20"/>
      </w:pPr>
      <w:r>
        <w:rPr>
          <w:rFonts w:ascii="Arial" w:hAnsi="Arial"/>
          <w:b w:val="0"/>
          <w:sz w:val="16"/>
        </w:rPr>
        <w:t>Before inspection: Exact requirement and affected extent — Identify the controlled requirement and revision, observed departure, location, quantity or limits, affected records and evidence. Do not infer a breach from an unverified requirement.</w:t>
      </w:r>
    </w:p>
    <w:p>
      <w:pPr>
        <w:spacing w:after="20"/>
      </w:pPr>
      <w:r>
        <w:rPr>
          <w:rFonts w:ascii="Arial" w:hAnsi="Arial"/>
          <w:b w:val="0"/>
          <w:sz w:val="16"/>
        </w:rPr>
        <w:t>Before inspection: Project-directed immediate controls — Record any instruction actually issued for identification, segregation, access, protection or work sequencing. A control or stop-work condition is not assumed by this form.</w:t>
      </w:r>
    </w:p>
    <w:p>
      <w:pPr>
        <w:spacing w:after="20"/>
      </w:pPr>
      <w:r>
        <w:rPr>
          <w:rFonts w:ascii="Arial" w:hAnsi="Arial"/>
          <w:b w:val="0"/>
          <w:sz w:val="16"/>
        </w:rPr>
        <w:t>Before inspection: Disposition authority and review needs — Confirm who may direct correction, rework, repair, concession, rejection or another project-defined outcome and what design, client or independent review is required.</w:t>
      </w:r>
    </w:p>
    <w:p>
      <w:pPr>
        <w:spacing w:after="20"/>
      </w:pPr>
      <w:r>
        <w:rPr>
          <w:rFonts w:ascii="Arial" w:hAnsi="Arial"/>
          <w:b w:val="0"/>
          <w:sz w:val="16"/>
        </w:rPr>
        <w:t>Before inspection: Action evidence, recheck and separate release route — Identify the actual required action and evidence, who checks it, the applicable acceptance source and whether a separate ITP or contract release remains open.</w:t>
      </w:r>
    </w:p>
    <w:p>
      <w:pPr>
        <w:spacing w:after="20"/>
      </w:pPr>
      <w:r>
        <w:rPr>
          <w:rFonts w:ascii="Arial" w:hAnsi="Arial"/>
          <w:b/>
          <w:sz w:val="22"/>
        </w:rPr>
        <w:t>How to use</w:t>
      </w:r>
    </w:p>
    <w:p>
      <w:pPr>
        <w:spacing w:after="20"/>
      </w:pPr>
      <w:r>
        <w:rPr>
          <w:rFonts w:ascii="Arial" w:hAnsi="Arial"/>
          <w:b w:val="0"/>
          <w:sz w:val="16"/>
        </w:rPr>
        <w:t>1. Open a traceable record using the project NCR numbering process. Identify the actual requirement, document revision and location before describing the departure.</w:t>
      </w:r>
    </w:p>
    <w:p>
      <w:pPr>
        <w:spacing w:after="20"/>
      </w:pPr>
      <w:r>
        <w:rPr>
          <w:rFonts w:ascii="Arial" w:hAnsi="Arial"/>
          <w:b w:val="0"/>
          <w:sz w:val="16"/>
        </w:rPr>
        <w:t>2. Record objective evidence and the known affected extent. Separate observed facts from suspected cause, responsibility or risk conclusions.</w:t>
      </w:r>
    </w:p>
    <w:p>
      <w:pPr>
        <w:spacing w:after="20"/>
      </w:pPr>
      <w:r>
        <w:rPr>
          <w:rFonts w:ascii="Arial" w:hAnsi="Arial"/>
          <w:b w:val="0"/>
          <w:sz w:val="16"/>
        </w:rPr>
        <w:t>3. Record who was notified, when and by what project route. Enter temporary controls only when a responsible project role has directed them or another applicable site process requires them.</w:t>
      </w:r>
    </w:p>
    <w:p>
      <w:pPr>
        <w:spacing w:after="20"/>
      </w:pPr>
      <w:r>
        <w:rPr>
          <w:rFonts w:ascii="Arial" w:hAnsi="Arial"/>
          <w:b w:val="0"/>
          <w:sz w:val="16"/>
        </w:rPr>
        <w:t>4. Leave the disposition blank until the role authorised by the project has issued a written decision. Link the instruction, conditions, reviewer and revision.</w:t>
      </w:r>
    </w:p>
    <w:p>
      <w:pPr>
        <w:spacing w:after="20"/>
      </w:pPr>
      <w:r>
        <w:rPr>
          <w:rFonts w:ascii="Arial" w:hAnsi="Arial"/>
          <w:b w:val="0"/>
          <w:sz w:val="16"/>
        </w:rPr>
        <w:t>5. Record actions as performed with dated evidence. Record cause analysis or preventive action only where required by the project process; do not mark them complete because a correction was made.</w:t>
      </w:r>
    </w:p>
    <w:p>
      <w:pPr>
        <w:spacing w:after="20"/>
      </w:pPr>
      <w:r>
        <w:rPr>
          <w:rFonts w:ascii="Arial" w:hAnsi="Arial"/>
          <w:b w:val="0"/>
          <w:sz w:val="16"/>
        </w:rPr>
        <w:t>6. Record the actual recheck against its authorised criteria and identify any further issue. Close only through the project-defined closure authority.</w:t>
      </w:r>
    </w:p>
    <w:p>
      <w:pPr>
        <w:spacing w:after="20"/>
      </w:pPr>
      <w:r>
        <w:rPr>
          <w:rFonts w:ascii="Arial" w:hAnsi="Arial"/>
          <w:b w:val="0"/>
          <w:sz w:val="16"/>
        </w:rPr>
        <w:t>7. Track contractual hold-point release, permission to conceal or next-work authorisation separately in the governing ITP or contract record.</w:t>
      </w:r>
    </w:p>
    <w:p>
      <w:pPr>
        <w:spacing w:after="0"/>
      </w:pPr>
      <w:r>
        <w:rPr>
          <w:rFonts w:ascii="Arial" w:hAnsi="Arial"/>
          <w:b w:val="0"/>
          <w:sz w:val="14"/>
        </w:rPr>
        <w:t>Important: Blank record. The project must define its NCR process, responsible roles, notification routes, status terms, response times and closure authority. No condition, cause, containment action, disposition, acceptance, recheck or release is prefilled. Closing an NCR does not itself release a contractual hold point, approve design or certify compliance.</w:t>
      </w:r>
    </w:p>
    <w:p>
      <w:r>
        <w:br w:type="page"/>
      </w:r>
    </w:p>
    <w:p>
      <w:pPr>
        <w:spacing w:after="40"/>
      </w:pPr>
      <w:r>
        <w:rPr>
          <w:rFonts w:ascii="Arial" w:hAnsi="Arial"/>
          <w:b/>
          <w:sz w:val="30"/>
        </w:rPr>
        <w:t>Quality workflow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NCR-01  Requirement and finding identity</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Identify the requirement against which the reported departure was observed.</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Record the controlled source, revision and relevant clause or drawing detail. Describe what was actually observed, where and when, and attach a source photo, inspection or test reference.</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The report links an objective observation to an identifiable project requirement. A suspicion or incomplete reference is marked for clarification rather than treated as a confirmed technical conclusion.</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Project NCR procedure, contract, specification, approved drawing, submittal, ITP or other controlled requirement.</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Requirement document / revision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Clause / drawing detail</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Observed condition / date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Location / grid / level</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Photo / inspection / test reference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Reported by / role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Workflow stage / action status (project-defined)</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Entry by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Supporting record / evidence reference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Next action / linked issue or separate release reference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Quality workflow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NCR-02  Affected extent and traceability</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Record the known work, lots, materials, installed items and related records that may be affected.</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Link location drawings, lot and batch references, installation periods, adjacent areas and earlier or later inspection records where evidence supports the connection. Mark unverified boundaries for investigation.</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The affected extent and remaining unknowns are visible and traceable. The form does not assume the issue is isolated or that adjacent work is unaffected.</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Project lot, material traceability and record-control procedures; approved drawings and actual inspection records.</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Affected area / quantity / lot</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Material / batch / asset reference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Related work dates / records</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Known boundary / map reference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Extent still under review</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Investigation owner / next update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Workflow stage / action status (project-defined)</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Entry by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Supporting record / evidence reference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Next action / linked issue or separate release reference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Quality workflow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NCR-03  Notification and immediate controls</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Document the actual notification and any project-directed control of the affected work.</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Enter the recipient, role, route and date. Record a stop, tag, segregation, protection or sequencing instruction only when it was actually issued, with its source and responsible person.</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Notifications and controls are evidenced. The blank record does not itself impose a hold, issue a site direction or establish who has authority.</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Project NCR, communication, safety and ITP procedures; actual instruction and notification records.</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Notified person / role / date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Project route / message reference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Control actually directed</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Instruction source / issuer</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Affected work identification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Current condition / follow-up</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Workflow stage / action status (project-defined)</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Entry by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Supporting record / evidence reference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Next action / linked issue or separate release reference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Quality workflow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NCR-04  Authorised disposition</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Link the written disposition issued by the project-authorised role.</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Record the decision, scope, conditions, accepting authority, date, source revision and any required design/client/independent review. Distinguish a proposed action from the decision authorising it.</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No corrective work or concession is deemed approved by this record. The disposition and authority are evidenced in a separate current project document.</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Project NCR procedure, contract authority matrix, approved design instruction or written project disposition.</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Disposition document / revision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Decision and affected scope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Author / authority / date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Conditions and criteria source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Required reviewers / evidence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Proposal still awaiting decision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Workflow stage / action status (project-defined)</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Entry by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Supporting record / evidence reference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Next action / linked issue or separate release reference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Quality workflow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NCR-05  Correction and corrective action evidence</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Record the action actually completed and any separate cause or preventive-action work required by the project process.</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Link dated work records, changed documents, material traceability, photographs and assigned reviews. Identify cause analysis as confirmed, under review or not required under the project procedure.</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Action completion is supported by evidence. A correction does not by itself demonstrate that a cause was addressed or recurrence prevention was reviewed.</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Authorised disposition, project corrective-action procedure and actual work records.</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Action taken / completion date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Work area / quantity / lot</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Materials / document revisions</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Photo / work record / evidence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Cause analysis status / source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Further action / owner / due date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Workflow stage / action status (project-defined)</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Entry by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Supporting record / evidence reference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Next action / linked issue or separate release reference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Quality workflow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NCR-06  Recheck and verification</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Record the separate check of completed action against the disposition and actual project criteria.</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Identify the reviewer and role, applicable criterion and revision, method actually used, observed result and linked evidence. Record any further finding as a new or reopened issue under the project procedure.</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A completed action is not marked verified unless the required project reviewer records the actual result. No result or test requirement is prefilled.</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Authorised disposition, project ITP and actual reinspection/test records where specified.</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Recheck requirement / source revision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Method / date / location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Actual observation / result</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Verifier / role / date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Photo / report / test reference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Further issue / follow-up reference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Workflow stage / action status (project-defined)</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Entry by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Supporting record / evidence reference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Next action / linked issue or separate release reference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Quality workflow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NCR-07  NCR closure and contractual release</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Record closure under the project NCR process while keeping ITP, concealment and contractual release decisions identifiable as separate controls.</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Link required action and verification evidence to the person authorised to close the NCR. Separately state any outstanding hold point or release record and its actual status.</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NCR closure does not by itself certify compliance, approve design or release work for concealment or the next activity. Each separate decision follows the project authority and record route.</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Project NCR closure procedure, ITP, contract notice and release records.</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NCR closure basis / authority</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Closure date / status</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Open condition / linked NCR</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ITP control point / status</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Separate release authority / reference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Final dossier / register reference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Workflow stage / action status (project-defined)</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Entry by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Supporting record / evidence reference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Next action / linked issue or separate release reference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60"/>
      </w:pPr>
      <w:r>
        <w:rPr>
          <w:rFonts w:ascii="Arial" w:hAnsi="Arial"/>
          <w:b/>
          <w:sz w:val="30"/>
        </w:rPr>
        <w:t>NCR action and review history</w:t>
      </w:r>
    </w:p>
    <w:p>
      <w:pPr>
        <w:spacing w:after="80"/>
      </w:pPr>
      <w:r>
        <w:rPr>
          <w:rFonts w:ascii="Arial" w:hAnsi="Arial"/>
          <w:b w:val="0"/>
          <w:sz w:val="17"/>
        </w:rPr>
        <w:t>Enter dated events only when they occur. Keep each event linked to the NCR and supporting project record. Leave every entry blank until the event is real.</w:t>
      </w:r>
    </w:p>
    <w:p>
      <w:pPr>
        <w:spacing w:after="40"/>
      </w:pPr>
      <w:r>
        <w:rPr>
          <w:rFonts w:ascii="Arial" w:hAnsi="Arial"/>
          <w:b w:val="0"/>
          <w:sz w:val="16"/>
        </w:rPr>
        <w:t>Project / contract: ______________________________    Element / pour / lot: ______________________________    Date / shift: ____________________</w:t>
      </w:r>
    </w:p>
    <w:p>
      <w:pPr>
        <w:spacing w:after="80"/>
      </w:pPr>
      <w:r>
        <w:rPr>
          <w:rFonts w:ascii="Arial" w:hAnsi="Arial"/>
          <w:b w:val="0"/>
          <w:sz w:val="16"/>
        </w:rPr>
        <w:t>Location / area: ______________________________    Record reference / revision: ______________________________</w:t>
      </w:r>
    </w:p>
    <w:tbl>
      <w:tblPr>
        <w:tblStyle w:val="TableGrid"/>
        <w:tblW w:type="auto" w:w="0"/>
        <w:tblLayout w:type="fixed"/>
        <w:tblLook w:firstColumn="1" w:firstRow="1" w:lastColumn="0" w:lastRow="0" w:noHBand="0" w:noVBand="1" w:val="04A0"/>
      </w:tblPr>
      <w:tblGrid>
        <w:gridCol w:w="2590"/>
        <w:gridCol w:w="2590"/>
        <w:gridCol w:w="2590"/>
        <w:gridCol w:w="2590"/>
        <w:gridCol w:w="2590"/>
        <w:gridCol w:w="2590"/>
      </w:tblGrid>
      <w:tr>
        <w:trPr>
          <w:trHeight w:val="691" w:hRule="atLeast"/>
          <w:tblHeader w:val="true"/>
          <w:cantSplit/>
        </w:trPr>
        <w:tc>
          <w:tcPr>
            <w:tcW w:type="dxa" w:w="1777"/>
            <w:vAlign w:val="center"/>
            <w:shd w:fill="167C80"/>
          </w:tcPr>
          <w:p>
            <w:pPr>
              <w:spacing w:after="0" w:line="240" w:lineRule="auto"/>
            </w:pPr>
            <w:r>
              <w:rPr>
                <w:rFonts w:ascii="Arial" w:hAnsi="Arial"/>
                <w:b/>
                <w:color w:val="FFFFFF"/>
                <w:sz w:val="14"/>
              </w:rPr>
              <w:t>Date / time</w:t>
            </w:r>
          </w:p>
        </w:tc>
        <w:tc>
          <w:tcPr>
            <w:tcW w:type="dxa" w:w="1777"/>
            <w:vAlign w:val="center"/>
            <w:shd w:fill="167C80"/>
          </w:tcPr>
          <w:p>
            <w:pPr>
              <w:spacing w:after="0" w:line="240" w:lineRule="auto"/>
            </w:pPr>
            <w:r>
              <w:rPr>
                <w:rFonts w:ascii="Arial" w:hAnsi="Arial"/>
                <w:b/>
                <w:color w:val="FFFFFF"/>
                <w:sz w:val="14"/>
              </w:rPr>
              <w:t>Stage / status</w:t>
            </w:r>
          </w:p>
        </w:tc>
        <w:tc>
          <w:tcPr>
            <w:tcW w:type="dxa" w:w="2278"/>
            <w:vAlign w:val="center"/>
            <w:shd w:fill="167C80"/>
          </w:tcPr>
          <w:p>
            <w:pPr>
              <w:spacing w:after="0" w:line="240" w:lineRule="auto"/>
            </w:pPr>
            <w:r>
              <w:rPr>
                <w:rFonts w:ascii="Arial" w:hAnsi="Arial"/>
                <w:b/>
                <w:color w:val="FFFFFF"/>
                <w:sz w:val="14"/>
              </w:rPr>
              <w:t>Entry by / role</w:t>
            </w:r>
          </w:p>
        </w:tc>
        <w:tc>
          <w:tcPr>
            <w:tcW w:type="dxa" w:w="3235"/>
            <w:vAlign w:val="center"/>
            <w:shd w:fill="167C80"/>
          </w:tcPr>
          <w:p>
            <w:pPr>
              <w:spacing w:after="0" w:line="240" w:lineRule="auto"/>
            </w:pPr>
            <w:r>
              <w:rPr>
                <w:rFonts w:ascii="Arial" w:hAnsi="Arial"/>
                <w:b/>
                <w:color w:val="FFFFFF"/>
                <w:sz w:val="14"/>
              </w:rPr>
              <w:t>Action or decision reference</w:t>
            </w:r>
          </w:p>
        </w:tc>
        <w:tc>
          <w:tcPr>
            <w:tcW w:type="dxa" w:w="3235"/>
            <w:vAlign w:val="center"/>
            <w:shd w:fill="167C80"/>
          </w:tcPr>
          <w:p>
            <w:pPr>
              <w:spacing w:after="0" w:line="240" w:lineRule="auto"/>
            </w:pPr>
            <w:r>
              <w:rPr>
                <w:rFonts w:ascii="Arial" w:hAnsi="Arial"/>
                <w:b/>
                <w:color w:val="FFFFFF"/>
                <w:sz w:val="14"/>
              </w:rPr>
              <w:t>Evidence / affected scope</w:t>
            </w:r>
          </w:p>
        </w:tc>
        <w:tc>
          <w:tcPr>
            <w:tcW w:type="dxa" w:w="3235"/>
            <w:vAlign w:val="center"/>
            <w:shd w:fill="167C80"/>
          </w:tcPr>
          <w:p>
            <w:pPr>
              <w:spacing w:after="0" w:line="240" w:lineRule="auto"/>
            </w:pPr>
            <w:r>
              <w:rPr>
                <w:rFonts w:ascii="Arial" w:hAnsi="Arial"/>
                <w:b/>
                <w:color w:val="FFFFFF"/>
                <w:sz w:val="14"/>
              </w:rPr>
              <w:t>Next action / assigned role</w:t>
            </w:r>
          </w:p>
        </w:tc>
      </w:tr>
      <w:tr>
        <w:trPr>
          <w:cantSplit/>
          <w:trHeight w:val="547" w:hRule="atLeast"/>
        </w:trPr>
        <w:tc>
          <w:tcPr>
            <w:tcW w:type="dxa" w:w="1777"/>
            <w:vAlign w:val="center"/>
          </w:tcPr>
          <w:p>
            <w:pPr>
              <w:spacing w:after="0" w:line="240" w:lineRule="auto"/>
            </w:pPr>
            <w:r>
              <w:rPr>
                <w:rFonts w:ascii="Arial" w:hAnsi="Arial"/>
                <w:color w:val="23303C"/>
                <w:sz w:val="14"/>
              </w:rPr>
              <w:t xml:space="preserve"> </w:t>
            </w:r>
          </w:p>
        </w:tc>
        <w:tc>
          <w:tcPr>
            <w:tcW w:type="dxa" w:w="1777"/>
            <w:vAlign w:val="center"/>
          </w:tcPr>
          <w:p>
            <w:pPr>
              <w:spacing w:after="0" w:line="240" w:lineRule="auto"/>
            </w:pPr>
            <w:r>
              <w:rPr>
                <w:rFonts w:ascii="Arial" w:hAnsi="Arial"/>
                <w:color w:val="23303C"/>
                <w:sz w:val="14"/>
              </w:rPr>
              <w:t xml:space="preserve"> </w:t>
            </w:r>
          </w:p>
        </w:tc>
        <w:tc>
          <w:tcPr>
            <w:tcW w:type="dxa" w:w="2278"/>
            <w:vAlign w:val="center"/>
          </w:tcPr>
          <w:p>
            <w:pPr>
              <w:spacing w:after="0" w:line="240" w:lineRule="auto"/>
            </w:pPr>
            <w:r>
              <w:rPr>
                <w:rFonts w:ascii="Arial" w:hAnsi="Arial"/>
                <w:color w:val="23303C"/>
                <w:sz w:val="14"/>
              </w:rPr>
              <w:t xml:space="preserve"> </w:t>
            </w:r>
          </w:p>
        </w:tc>
        <w:tc>
          <w:tcPr>
            <w:tcW w:type="dxa" w:w="3235"/>
            <w:vAlign w:val="center"/>
          </w:tcPr>
          <w:p>
            <w:pPr>
              <w:spacing w:after="0" w:line="240" w:lineRule="auto"/>
            </w:pPr>
            <w:r>
              <w:rPr>
                <w:rFonts w:ascii="Arial" w:hAnsi="Arial"/>
                <w:color w:val="23303C"/>
                <w:sz w:val="14"/>
              </w:rPr>
              <w:t xml:space="preserve"> </w:t>
            </w:r>
          </w:p>
        </w:tc>
        <w:tc>
          <w:tcPr>
            <w:tcW w:type="dxa" w:w="3235"/>
            <w:vAlign w:val="center"/>
          </w:tcPr>
          <w:p>
            <w:pPr>
              <w:spacing w:after="0" w:line="240" w:lineRule="auto"/>
            </w:pPr>
            <w:r>
              <w:rPr>
                <w:rFonts w:ascii="Arial" w:hAnsi="Arial"/>
                <w:color w:val="23303C"/>
                <w:sz w:val="14"/>
              </w:rPr>
              <w:t xml:space="preserve"> </w:t>
            </w:r>
          </w:p>
        </w:tc>
        <w:tc>
          <w:tcPr>
            <w:tcW w:type="dxa" w:w="3235"/>
            <w:vAlign w:val="center"/>
          </w:tcPr>
          <w:p>
            <w:pPr>
              <w:spacing w:after="0" w:line="240" w:lineRule="auto"/>
            </w:pPr>
            <w:r>
              <w:rPr>
                <w:rFonts w:ascii="Arial" w:hAnsi="Arial"/>
                <w:color w:val="23303C"/>
                <w:sz w:val="14"/>
              </w:rPr>
              <w:t xml:space="preserve"> </w:t>
            </w:r>
          </w:p>
        </w:tc>
      </w:tr>
      <w:tr>
        <w:trPr>
          <w:cantSplit/>
          <w:trHeight w:val="547" w:hRule="atLeast"/>
        </w:trPr>
        <w:tc>
          <w:tcPr>
            <w:tcW w:type="dxa" w:w="1777"/>
            <w:vAlign w:val="center"/>
          </w:tcPr>
          <w:p>
            <w:pPr>
              <w:spacing w:after="0" w:line="240" w:lineRule="auto"/>
            </w:pPr>
            <w:r>
              <w:rPr>
                <w:rFonts w:ascii="Arial" w:hAnsi="Arial"/>
                <w:color w:val="23303C"/>
                <w:sz w:val="14"/>
              </w:rPr>
              <w:t xml:space="preserve"> </w:t>
            </w:r>
          </w:p>
        </w:tc>
        <w:tc>
          <w:tcPr>
            <w:tcW w:type="dxa" w:w="1777"/>
            <w:vAlign w:val="center"/>
          </w:tcPr>
          <w:p>
            <w:pPr>
              <w:spacing w:after="0" w:line="240" w:lineRule="auto"/>
            </w:pPr>
            <w:r>
              <w:rPr>
                <w:rFonts w:ascii="Arial" w:hAnsi="Arial"/>
                <w:color w:val="23303C"/>
                <w:sz w:val="14"/>
              </w:rPr>
              <w:t xml:space="preserve"> </w:t>
            </w:r>
          </w:p>
        </w:tc>
        <w:tc>
          <w:tcPr>
            <w:tcW w:type="dxa" w:w="2278"/>
            <w:vAlign w:val="center"/>
          </w:tcPr>
          <w:p>
            <w:pPr>
              <w:spacing w:after="0" w:line="240" w:lineRule="auto"/>
            </w:pPr>
            <w:r>
              <w:rPr>
                <w:rFonts w:ascii="Arial" w:hAnsi="Arial"/>
                <w:color w:val="23303C"/>
                <w:sz w:val="14"/>
              </w:rPr>
              <w:t xml:space="preserve"> </w:t>
            </w:r>
          </w:p>
        </w:tc>
        <w:tc>
          <w:tcPr>
            <w:tcW w:type="dxa" w:w="3235"/>
            <w:vAlign w:val="center"/>
          </w:tcPr>
          <w:p>
            <w:pPr>
              <w:spacing w:after="0" w:line="240" w:lineRule="auto"/>
            </w:pPr>
            <w:r>
              <w:rPr>
                <w:rFonts w:ascii="Arial" w:hAnsi="Arial"/>
                <w:color w:val="23303C"/>
                <w:sz w:val="14"/>
              </w:rPr>
              <w:t xml:space="preserve"> </w:t>
            </w:r>
          </w:p>
        </w:tc>
        <w:tc>
          <w:tcPr>
            <w:tcW w:type="dxa" w:w="3235"/>
            <w:vAlign w:val="center"/>
          </w:tcPr>
          <w:p>
            <w:pPr>
              <w:spacing w:after="0" w:line="240" w:lineRule="auto"/>
            </w:pPr>
            <w:r>
              <w:rPr>
                <w:rFonts w:ascii="Arial" w:hAnsi="Arial"/>
                <w:color w:val="23303C"/>
                <w:sz w:val="14"/>
              </w:rPr>
              <w:t xml:space="preserve"> </w:t>
            </w:r>
          </w:p>
        </w:tc>
        <w:tc>
          <w:tcPr>
            <w:tcW w:type="dxa" w:w="3235"/>
            <w:vAlign w:val="center"/>
          </w:tcPr>
          <w:p>
            <w:pPr>
              <w:spacing w:after="0" w:line="240" w:lineRule="auto"/>
            </w:pPr>
            <w:r>
              <w:rPr>
                <w:rFonts w:ascii="Arial" w:hAnsi="Arial"/>
                <w:color w:val="23303C"/>
                <w:sz w:val="14"/>
              </w:rPr>
              <w:t xml:space="preserve"> </w:t>
            </w:r>
          </w:p>
        </w:tc>
      </w:tr>
      <w:tr>
        <w:trPr>
          <w:cantSplit/>
          <w:trHeight w:val="547" w:hRule="atLeast"/>
        </w:trPr>
        <w:tc>
          <w:tcPr>
            <w:tcW w:type="dxa" w:w="1777"/>
            <w:vAlign w:val="center"/>
          </w:tcPr>
          <w:p>
            <w:pPr>
              <w:spacing w:after="0" w:line="240" w:lineRule="auto"/>
            </w:pPr>
            <w:r>
              <w:rPr>
                <w:rFonts w:ascii="Arial" w:hAnsi="Arial"/>
                <w:color w:val="23303C"/>
                <w:sz w:val="14"/>
              </w:rPr>
              <w:t xml:space="preserve"> </w:t>
            </w:r>
          </w:p>
        </w:tc>
        <w:tc>
          <w:tcPr>
            <w:tcW w:type="dxa" w:w="1777"/>
            <w:vAlign w:val="center"/>
          </w:tcPr>
          <w:p>
            <w:pPr>
              <w:spacing w:after="0" w:line="240" w:lineRule="auto"/>
            </w:pPr>
            <w:r>
              <w:rPr>
                <w:rFonts w:ascii="Arial" w:hAnsi="Arial"/>
                <w:color w:val="23303C"/>
                <w:sz w:val="14"/>
              </w:rPr>
              <w:t xml:space="preserve"> </w:t>
            </w:r>
          </w:p>
        </w:tc>
        <w:tc>
          <w:tcPr>
            <w:tcW w:type="dxa" w:w="2278"/>
            <w:vAlign w:val="center"/>
          </w:tcPr>
          <w:p>
            <w:pPr>
              <w:spacing w:after="0" w:line="240" w:lineRule="auto"/>
            </w:pPr>
            <w:r>
              <w:rPr>
                <w:rFonts w:ascii="Arial" w:hAnsi="Arial"/>
                <w:color w:val="23303C"/>
                <w:sz w:val="14"/>
              </w:rPr>
              <w:t xml:space="preserve"> </w:t>
            </w:r>
          </w:p>
        </w:tc>
        <w:tc>
          <w:tcPr>
            <w:tcW w:type="dxa" w:w="3235"/>
            <w:vAlign w:val="center"/>
          </w:tcPr>
          <w:p>
            <w:pPr>
              <w:spacing w:after="0" w:line="240" w:lineRule="auto"/>
            </w:pPr>
            <w:r>
              <w:rPr>
                <w:rFonts w:ascii="Arial" w:hAnsi="Arial"/>
                <w:color w:val="23303C"/>
                <w:sz w:val="14"/>
              </w:rPr>
              <w:t xml:space="preserve"> </w:t>
            </w:r>
          </w:p>
        </w:tc>
        <w:tc>
          <w:tcPr>
            <w:tcW w:type="dxa" w:w="3235"/>
            <w:vAlign w:val="center"/>
          </w:tcPr>
          <w:p>
            <w:pPr>
              <w:spacing w:after="0" w:line="240" w:lineRule="auto"/>
            </w:pPr>
            <w:r>
              <w:rPr>
                <w:rFonts w:ascii="Arial" w:hAnsi="Arial"/>
                <w:color w:val="23303C"/>
                <w:sz w:val="14"/>
              </w:rPr>
              <w:t xml:space="preserve"> </w:t>
            </w:r>
          </w:p>
        </w:tc>
        <w:tc>
          <w:tcPr>
            <w:tcW w:type="dxa" w:w="3235"/>
            <w:vAlign w:val="center"/>
          </w:tcPr>
          <w:p>
            <w:pPr>
              <w:spacing w:after="0" w:line="240" w:lineRule="auto"/>
            </w:pPr>
            <w:r>
              <w:rPr>
                <w:rFonts w:ascii="Arial" w:hAnsi="Arial"/>
                <w:color w:val="23303C"/>
                <w:sz w:val="14"/>
              </w:rPr>
              <w:t xml:space="preserve"> </w:t>
            </w:r>
          </w:p>
        </w:tc>
      </w:tr>
      <w:tr>
        <w:trPr>
          <w:cantSplit/>
          <w:trHeight w:val="547" w:hRule="atLeast"/>
        </w:trPr>
        <w:tc>
          <w:tcPr>
            <w:tcW w:type="dxa" w:w="1777"/>
            <w:vAlign w:val="center"/>
          </w:tcPr>
          <w:p>
            <w:pPr>
              <w:spacing w:after="0" w:line="240" w:lineRule="auto"/>
            </w:pPr>
            <w:r>
              <w:rPr>
                <w:rFonts w:ascii="Arial" w:hAnsi="Arial"/>
                <w:color w:val="23303C"/>
                <w:sz w:val="14"/>
              </w:rPr>
              <w:t xml:space="preserve"> </w:t>
            </w:r>
          </w:p>
        </w:tc>
        <w:tc>
          <w:tcPr>
            <w:tcW w:type="dxa" w:w="1777"/>
            <w:vAlign w:val="center"/>
          </w:tcPr>
          <w:p>
            <w:pPr>
              <w:spacing w:after="0" w:line="240" w:lineRule="auto"/>
            </w:pPr>
            <w:r>
              <w:rPr>
                <w:rFonts w:ascii="Arial" w:hAnsi="Arial"/>
                <w:color w:val="23303C"/>
                <w:sz w:val="14"/>
              </w:rPr>
              <w:t xml:space="preserve"> </w:t>
            </w:r>
          </w:p>
        </w:tc>
        <w:tc>
          <w:tcPr>
            <w:tcW w:type="dxa" w:w="2278"/>
            <w:vAlign w:val="center"/>
          </w:tcPr>
          <w:p>
            <w:pPr>
              <w:spacing w:after="0" w:line="240" w:lineRule="auto"/>
            </w:pPr>
            <w:r>
              <w:rPr>
                <w:rFonts w:ascii="Arial" w:hAnsi="Arial"/>
                <w:color w:val="23303C"/>
                <w:sz w:val="14"/>
              </w:rPr>
              <w:t xml:space="preserve"> </w:t>
            </w:r>
          </w:p>
        </w:tc>
        <w:tc>
          <w:tcPr>
            <w:tcW w:type="dxa" w:w="3235"/>
            <w:vAlign w:val="center"/>
          </w:tcPr>
          <w:p>
            <w:pPr>
              <w:spacing w:after="0" w:line="240" w:lineRule="auto"/>
            </w:pPr>
            <w:r>
              <w:rPr>
                <w:rFonts w:ascii="Arial" w:hAnsi="Arial"/>
                <w:color w:val="23303C"/>
                <w:sz w:val="14"/>
              </w:rPr>
              <w:t xml:space="preserve"> </w:t>
            </w:r>
          </w:p>
        </w:tc>
        <w:tc>
          <w:tcPr>
            <w:tcW w:type="dxa" w:w="3235"/>
            <w:vAlign w:val="center"/>
          </w:tcPr>
          <w:p>
            <w:pPr>
              <w:spacing w:after="0" w:line="240" w:lineRule="auto"/>
            </w:pPr>
            <w:r>
              <w:rPr>
                <w:rFonts w:ascii="Arial" w:hAnsi="Arial"/>
                <w:color w:val="23303C"/>
                <w:sz w:val="14"/>
              </w:rPr>
              <w:t xml:space="preserve"> </w:t>
            </w:r>
          </w:p>
        </w:tc>
        <w:tc>
          <w:tcPr>
            <w:tcW w:type="dxa" w:w="3235"/>
            <w:vAlign w:val="center"/>
          </w:tcPr>
          <w:p>
            <w:pPr>
              <w:spacing w:after="0" w:line="240" w:lineRule="auto"/>
            </w:pPr>
            <w:r>
              <w:rPr>
                <w:rFonts w:ascii="Arial" w:hAnsi="Arial"/>
                <w:color w:val="23303C"/>
                <w:sz w:val="14"/>
              </w:rPr>
              <w:t xml:space="preserve"> </w:t>
            </w:r>
          </w:p>
        </w:tc>
      </w:tr>
      <w:tr>
        <w:trPr>
          <w:cantSplit/>
          <w:trHeight w:val="547" w:hRule="atLeast"/>
        </w:trPr>
        <w:tc>
          <w:tcPr>
            <w:tcW w:type="dxa" w:w="1777"/>
            <w:vAlign w:val="center"/>
          </w:tcPr>
          <w:p>
            <w:pPr>
              <w:spacing w:after="0" w:line="240" w:lineRule="auto"/>
            </w:pPr>
            <w:r>
              <w:rPr>
                <w:rFonts w:ascii="Arial" w:hAnsi="Arial"/>
                <w:color w:val="23303C"/>
                <w:sz w:val="14"/>
              </w:rPr>
              <w:t xml:space="preserve"> </w:t>
            </w:r>
          </w:p>
        </w:tc>
        <w:tc>
          <w:tcPr>
            <w:tcW w:type="dxa" w:w="1777"/>
            <w:vAlign w:val="center"/>
          </w:tcPr>
          <w:p>
            <w:pPr>
              <w:spacing w:after="0" w:line="240" w:lineRule="auto"/>
            </w:pPr>
            <w:r>
              <w:rPr>
                <w:rFonts w:ascii="Arial" w:hAnsi="Arial"/>
                <w:color w:val="23303C"/>
                <w:sz w:val="14"/>
              </w:rPr>
              <w:t xml:space="preserve"> </w:t>
            </w:r>
          </w:p>
        </w:tc>
        <w:tc>
          <w:tcPr>
            <w:tcW w:type="dxa" w:w="2278"/>
            <w:vAlign w:val="center"/>
          </w:tcPr>
          <w:p>
            <w:pPr>
              <w:spacing w:after="0" w:line="240" w:lineRule="auto"/>
            </w:pPr>
            <w:r>
              <w:rPr>
                <w:rFonts w:ascii="Arial" w:hAnsi="Arial"/>
                <w:color w:val="23303C"/>
                <w:sz w:val="14"/>
              </w:rPr>
              <w:t xml:space="preserve"> </w:t>
            </w:r>
          </w:p>
        </w:tc>
        <w:tc>
          <w:tcPr>
            <w:tcW w:type="dxa" w:w="3235"/>
            <w:vAlign w:val="center"/>
          </w:tcPr>
          <w:p>
            <w:pPr>
              <w:spacing w:after="0" w:line="240" w:lineRule="auto"/>
            </w:pPr>
            <w:r>
              <w:rPr>
                <w:rFonts w:ascii="Arial" w:hAnsi="Arial"/>
                <w:color w:val="23303C"/>
                <w:sz w:val="14"/>
              </w:rPr>
              <w:t xml:space="preserve"> </w:t>
            </w:r>
          </w:p>
        </w:tc>
        <w:tc>
          <w:tcPr>
            <w:tcW w:type="dxa" w:w="3235"/>
            <w:vAlign w:val="center"/>
          </w:tcPr>
          <w:p>
            <w:pPr>
              <w:spacing w:after="0" w:line="240" w:lineRule="auto"/>
            </w:pPr>
            <w:r>
              <w:rPr>
                <w:rFonts w:ascii="Arial" w:hAnsi="Arial"/>
                <w:color w:val="23303C"/>
                <w:sz w:val="14"/>
              </w:rPr>
              <w:t xml:space="preserve"> </w:t>
            </w:r>
          </w:p>
        </w:tc>
        <w:tc>
          <w:tcPr>
            <w:tcW w:type="dxa" w:w="3235"/>
            <w:vAlign w:val="center"/>
          </w:tcPr>
          <w:p>
            <w:pPr>
              <w:spacing w:after="0" w:line="240" w:lineRule="auto"/>
            </w:pPr>
            <w:r>
              <w:rPr>
                <w:rFonts w:ascii="Arial" w:hAnsi="Arial"/>
                <w:color w:val="23303C"/>
                <w:sz w:val="14"/>
              </w:rPr>
              <w:t xml:space="preserve"> </w:t>
            </w:r>
          </w:p>
        </w:tc>
      </w:tr>
      <w:tr>
        <w:trPr>
          <w:cantSplit/>
          <w:trHeight w:val="547" w:hRule="atLeast"/>
        </w:trPr>
        <w:tc>
          <w:tcPr>
            <w:tcW w:type="dxa" w:w="1777"/>
            <w:vAlign w:val="center"/>
          </w:tcPr>
          <w:p>
            <w:pPr>
              <w:spacing w:after="0" w:line="240" w:lineRule="auto"/>
            </w:pPr>
            <w:r>
              <w:rPr>
                <w:rFonts w:ascii="Arial" w:hAnsi="Arial"/>
                <w:color w:val="23303C"/>
                <w:sz w:val="14"/>
              </w:rPr>
              <w:t xml:space="preserve"> </w:t>
            </w:r>
          </w:p>
        </w:tc>
        <w:tc>
          <w:tcPr>
            <w:tcW w:type="dxa" w:w="1777"/>
            <w:vAlign w:val="center"/>
          </w:tcPr>
          <w:p>
            <w:pPr>
              <w:spacing w:after="0" w:line="240" w:lineRule="auto"/>
            </w:pPr>
            <w:r>
              <w:rPr>
                <w:rFonts w:ascii="Arial" w:hAnsi="Arial"/>
                <w:color w:val="23303C"/>
                <w:sz w:val="14"/>
              </w:rPr>
              <w:t xml:space="preserve"> </w:t>
            </w:r>
          </w:p>
        </w:tc>
        <w:tc>
          <w:tcPr>
            <w:tcW w:type="dxa" w:w="2278"/>
            <w:vAlign w:val="center"/>
          </w:tcPr>
          <w:p>
            <w:pPr>
              <w:spacing w:after="0" w:line="240" w:lineRule="auto"/>
            </w:pPr>
            <w:r>
              <w:rPr>
                <w:rFonts w:ascii="Arial" w:hAnsi="Arial"/>
                <w:color w:val="23303C"/>
                <w:sz w:val="14"/>
              </w:rPr>
              <w:t xml:space="preserve"> </w:t>
            </w:r>
          </w:p>
        </w:tc>
        <w:tc>
          <w:tcPr>
            <w:tcW w:type="dxa" w:w="3235"/>
            <w:vAlign w:val="center"/>
          </w:tcPr>
          <w:p>
            <w:pPr>
              <w:spacing w:after="0" w:line="240" w:lineRule="auto"/>
            </w:pPr>
            <w:r>
              <w:rPr>
                <w:rFonts w:ascii="Arial" w:hAnsi="Arial"/>
                <w:color w:val="23303C"/>
                <w:sz w:val="14"/>
              </w:rPr>
              <w:t xml:space="preserve"> </w:t>
            </w:r>
          </w:p>
        </w:tc>
        <w:tc>
          <w:tcPr>
            <w:tcW w:type="dxa" w:w="3235"/>
            <w:vAlign w:val="center"/>
          </w:tcPr>
          <w:p>
            <w:pPr>
              <w:spacing w:after="0" w:line="240" w:lineRule="auto"/>
            </w:pPr>
            <w:r>
              <w:rPr>
                <w:rFonts w:ascii="Arial" w:hAnsi="Arial"/>
                <w:color w:val="23303C"/>
                <w:sz w:val="14"/>
              </w:rPr>
              <w:t xml:space="preserve"> </w:t>
            </w:r>
          </w:p>
        </w:tc>
        <w:tc>
          <w:tcPr>
            <w:tcW w:type="dxa" w:w="3235"/>
            <w:vAlign w:val="center"/>
          </w:tcPr>
          <w:p>
            <w:pPr>
              <w:spacing w:after="0" w:line="240" w:lineRule="auto"/>
            </w:pPr>
            <w:r>
              <w:rPr>
                <w:rFonts w:ascii="Arial" w:hAnsi="Arial"/>
                <w:color w:val="23303C"/>
                <w:sz w:val="14"/>
              </w:rPr>
              <w:t xml:space="preserve"> </w:t>
            </w:r>
          </w:p>
        </w:tc>
      </w:tr>
    </w:tbl>
    <w:p>
      <w:r>
        <w:br w:type="page"/>
      </w:r>
    </w:p>
    <w:p>
      <w:pPr>
        <w:spacing w:after="60"/>
      </w:pPr>
      <w:r>
        <w:rPr>
          <w:rFonts w:ascii="Arial" w:hAnsi="Arial"/>
          <w:b/>
          <w:sz w:val="32"/>
        </w:rPr>
        <w:t>Issues and corrective action</w:t>
      </w:r>
    </w:p>
    <w:p>
      <w:pPr>
        <w:spacing w:after="100"/>
      </w:pPr>
      <w:r>
        <w:rPr>
          <w:rFonts w:ascii="Arial" w:hAnsi="Arial"/>
          <w:b w:val="0"/>
          <w:sz w:val="16"/>
        </w:rPr>
        <w:t>Project: _____________________  Location / room / element: _____________________  Inspection date: _____________________</w:t>
      </w:r>
    </w:p>
    <w:tbl>
      <w:tblPr>
        <w:tblStyle w:val="TableGrid"/>
        <w:tblW w:type="auto" w:w="0"/>
        <w:tblLook w:firstColumn="1" w:firstRow="1" w:lastColumn="0" w:lastRow="0" w:noHBand="0" w:noVBand="1" w:val="04A0"/>
      </w:tblPr>
      <w:tblGrid>
        <w:gridCol w:w="3108"/>
        <w:gridCol w:w="3108"/>
        <w:gridCol w:w="3108"/>
        <w:gridCol w:w="3108"/>
        <w:gridCol w:w="3108"/>
      </w:tblGrid>
      <w:tr>
        <w:tc>
          <w:tcPr>
            <w:tcW w:type="dxa" w:w="3108"/>
            <w:vAlign w:val="center"/>
            <w:shd w:fill="167C80"/>
          </w:tcPr>
          <w:p>
            <w:pPr>
              <w:spacing w:after="20"/>
            </w:pPr>
            <w:r>
              <w:rPr>
                <w:rFonts w:ascii="Arial" w:hAnsi="Arial"/>
                <w:b/>
                <w:color w:val="FFFFFF"/>
                <w:sz w:val="16"/>
              </w:rPr>
              <w:t>Item / date</w:t>
            </w:r>
          </w:p>
        </w:tc>
        <w:tc>
          <w:tcPr>
            <w:tcW w:type="dxa" w:w="3108"/>
            <w:vAlign w:val="center"/>
            <w:shd w:fill="167C80"/>
          </w:tcPr>
          <w:p>
            <w:pPr>
              <w:spacing w:after="20"/>
            </w:pPr>
            <w:r>
              <w:rPr>
                <w:rFonts w:ascii="Arial" w:hAnsi="Arial"/>
                <w:b/>
                <w:color w:val="FFFFFF"/>
                <w:sz w:val="16"/>
              </w:rPr>
              <w:t>Issue and immediate action</w:t>
            </w:r>
          </w:p>
        </w:tc>
        <w:tc>
          <w:tcPr>
            <w:tcW w:type="dxa" w:w="3108"/>
            <w:vAlign w:val="center"/>
            <w:shd w:fill="167C80"/>
          </w:tcPr>
          <w:p>
            <w:pPr>
              <w:spacing w:after="20"/>
            </w:pPr>
            <w:r>
              <w:rPr>
                <w:rFonts w:ascii="Arial" w:hAnsi="Arial"/>
                <w:b/>
                <w:color w:val="FFFFFF"/>
                <w:sz w:val="16"/>
              </w:rPr>
              <w:t>Disposition / corrective instruction</w:t>
            </w:r>
          </w:p>
        </w:tc>
        <w:tc>
          <w:tcPr>
            <w:tcW w:type="dxa" w:w="3108"/>
            <w:vAlign w:val="center"/>
            <w:shd w:fill="167C80"/>
          </w:tcPr>
          <w:p>
            <w:pPr>
              <w:spacing w:after="20"/>
            </w:pPr>
            <w:r>
              <w:rPr>
                <w:rFonts w:ascii="Arial" w:hAnsi="Arial"/>
                <w:b/>
                <w:color w:val="FFFFFF"/>
                <w:sz w:val="16"/>
              </w:rPr>
              <w:t>Recheck evidence / date</w:t>
            </w:r>
          </w:p>
        </w:tc>
        <w:tc>
          <w:tcPr>
            <w:tcW w:type="dxa" w:w="3108"/>
            <w:vAlign w:val="center"/>
            <w:shd w:fill="167C80"/>
          </w:tcPr>
          <w:p>
            <w:pPr>
              <w:spacing w:after="20"/>
            </w:pPr>
            <w:r>
              <w:rPr>
                <w:rFonts w:ascii="Arial" w:hAnsi="Arial"/>
                <w:b/>
                <w:color w:val="FFFFFF"/>
                <w:sz w:val="16"/>
              </w:rPr>
              <w:t>Responsible role / reference</w:t>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bl>
    <w:p>
      <w:pPr>
        <w:spacing w:after="40"/>
      </w:pPr>
      <w:r>
        <w:rPr>
          <w:rFonts w:ascii="Arial" w:hAnsi="Arial"/>
          <w:b w:val="0"/>
          <w:sz w:val="6"/>
        </w:rPr>
      </w:r>
    </w:p>
    <w:p>
      <w:pPr>
        <w:spacing w:after="80"/>
      </w:pPr>
      <w:r>
        <w:rPr>
          <w:rFonts w:ascii="Arial" w:hAnsi="Arial"/>
          <w:b/>
          <w:sz w:val="16"/>
        </w:rPr>
        <w:t>Unresolved items: identify affected area, status, person notified, instruction / NCR reference and any condition before concealment or next work.</w:t>
      </w:r>
    </w:p>
    <w:p>
      <w:r>
        <w:br w:type="page"/>
      </w:r>
    </w:p>
    <w:p>
      <w:pPr>
        <w:spacing w:after="60"/>
      </w:pPr>
      <w:r>
        <w:rPr>
          <w:rFonts w:ascii="Arial" w:hAnsi="Arial"/>
          <w:b/>
          <w:sz w:val="32"/>
        </w:rPr>
        <w:t>NCR closure review</w:t>
      </w:r>
    </w:p>
    <w:p>
      <w:pPr>
        <w:spacing w:after="80"/>
      </w:pPr>
      <w:r>
        <w:rPr>
          <w:rFonts w:ascii="Arial" w:hAnsi="Arial"/>
          <w:b w:val="0"/>
          <w:sz w:val="18"/>
        </w:rPr>
        <w:t>Project: _____________________  Location / room / element: _____________________  Date: _____________________</w:t>
      </w:r>
    </w:p>
    <w:p>
      <w:pPr>
        <w:spacing w:after="40"/>
      </w:pPr>
      <w:r>
        <w:rPr>
          <w:rFonts w:ascii="Arial" w:hAnsi="Arial"/>
          <w:b/>
          <w:sz w:val="20"/>
        </w:rPr>
        <w:t>Project NCR status</w:t>
      </w:r>
    </w:p>
    <w:p>
      <w:pPr>
        <w:spacing w:after="80"/>
      </w:pPr>
      <w:r>
        <w:rPr>
          <w:rFonts w:ascii="Arial" w:hAnsi="Arial"/>
          <w:b w:val="0"/>
          <w:sz w:val="18"/>
        </w:rPr>
        <w:t>[  ] Open or action underway</w:t>
      </w:r>
    </w:p>
    <w:p>
      <w:pPr>
        <w:spacing w:after="80"/>
      </w:pPr>
      <w:r>
        <w:rPr>
          <w:rFonts w:ascii="Arial" w:hAnsi="Arial"/>
          <w:b w:val="0"/>
          <w:sz w:val="18"/>
        </w:rPr>
        <w:t>[  ] Action complete and awaiting required review</w:t>
      </w:r>
    </w:p>
    <w:p>
      <w:pPr>
        <w:spacing w:after="80"/>
      </w:pPr>
      <w:r>
        <w:rPr>
          <w:rFonts w:ascii="Arial" w:hAnsi="Arial"/>
          <w:b w:val="0"/>
          <w:sz w:val="18"/>
        </w:rPr>
        <w:t>[  ] Closed by the project-authorised role</w:t>
      </w:r>
    </w:p>
    <w:p>
      <w:pPr>
        <w:spacing w:after="100"/>
      </w:pPr>
      <w:r>
        <w:rPr>
          <w:rFonts w:ascii="Arial" w:hAnsi="Arial"/>
          <w:b w:val="0"/>
          <w:sz w:val="18"/>
        </w:rPr>
        <w:t>Select only the state supported by the project record. NCR closure is separate from any ITP hold-point release, permission to conceal or contractual release.</w:t>
      </w:r>
    </w:p>
    <w:p>
      <w:pPr>
        <w:spacing w:after="20"/>
      </w:pPr>
      <w:r>
        <w:rPr>
          <w:rFonts w:ascii="Arial" w:hAnsi="Arial"/>
          <w:b/>
          <w:sz w:val="20"/>
        </w:rPr>
        <w:t>Handover roles and references</w:t>
      </w:r>
    </w:p>
    <w:p>
      <w:pPr>
        <w:spacing w:after="100"/>
      </w:pPr>
      <w:r>
        <w:rPr>
          <w:rFonts w:ascii="Arial" w:hAnsi="Arial"/>
          <w:b w:val="0"/>
          <w:sz w:val="18"/>
        </w:rPr>
        <w:t>NCR owner / role / date  ______________________________________________</w:t>
      </w:r>
    </w:p>
    <w:p>
      <w:pPr>
        <w:spacing w:after="100"/>
      </w:pPr>
      <w:r>
        <w:rPr>
          <w:rFonts w:ascii="Arial" w:hAnsi="Arial"/>
          <w:b w:val="0"/>
          <w:sz w:val="18"/>
        </w:rPr>
        <w:t>Disposition authority / written reference  ______________________________________________</w:t>
      </w:r>
    </w:p>
    <w:p>
      <w:pPr>
        <w:spacing w:after="100"/>
      </w:pPr>
      <w:r>
        <w:rPr>
          <w:rFonts w:ascii="Arial" w:hAnsi="Arial"/>
          <w:b w:val="0"/>
          <w:sz w:val="18"/>
        </w:rPr>
        <w:t>Action verifier / role / date  ______________________________________________</w:t>
      </w:r>
    </w:p>
    <w:p>
      <w:pPr>
        <w:spacing w:after="100"/>
      </w:pPr>
      <w:r>
        <w:rPr>
          <w:rFonts w:ascii="Arial" w:hAnsi="Arial"/>
          <w:b w:val="0"/>
          <w:sz w:val="18"/>
        </w:rPr>
        <w:t>Closure authority / decision reference  ______________________________________________</w:t>
      </w:r>
    </w:p>
    <w:p>
      <w:pPr>
        <w:spacing w:after="100"/>
      </w:pPr>
      <w:r>
        <w:rPr>
          <w:rFonts w:ascii="Arial" w:hAnsi="Arial"/>
          <w:b w:val="0"/>
          <w:sz w:val="18"/>
        </w:rPr>
        <w:t>Separate ITP or contract release / status  ______________________________________________</w:t>
      </w:r>
    </w:p>
    <w:p>
      <w:pPr>
        <w:spacing w:after="0"/>
      </w:pPr>
      <w:r>
        <w:rPr>
          <w:rFonts w:ascii="Arial" w:hAnsi="Arial"/>
          <w:b w:val="0"/>
          <w:sz w:val="18"/>
        </w:rPr>
        <w:t>Signatures record the named person’s stated role and entry only. They do not by themselves approve design, certify compliance, release a contractual control point or authorize the next activity.</w:t>
      </w:r>
    </w:p>
    <w:p>
      <w:r>
        <w:br w:type="page"/>
      </w:r>
    </w:p>
    <w:p>
      <w:pPr>
        <w:spacing w:after="80"/>
      </w:pPr>
      <w:r>
        <w:rPr>
          <w:rFonts w:ascii="Arial" w:hAnsi="Arial"/>
          <w:b/>
          <w:sz w:val="34"/>
        </w:rPr>
        <w:t>Source notes</w:t>
      </w:r>
    </w:p>
    <w:p>
      <w:pPr>
        <w:spacing w:after="160"/>
      </w:pPr>
      <w:r>
        <w:rPr>
          <w:rFonts w:ascii="Arial" w:hAnsi="Arial"/>
          <w:b w:val="0"/>
          <w:sz w:val="18"/>
        </w:rPr>
        <w:t>These references explain topic and record design. They do not supply universal project acceptance values. Confirm the contract documents, applicable jurisdiction and approved product/system before use.</w:t>
      </w:r>
    </w:p>
    <w:p>
      <w:pPr>
        <w:spacing w:after="20"/>
      </w:pPr>
      <w:r>
        <w:rPr>
          <w:rFonts w:ascii="Arial" w:hAnsi="Arial"/>
          <w:b/>
          <w:sz w:val="20"/>
        </w:rPr>
        <w:t>NSW Government, Quality management guidelines for construction</w:t>
      </w:r>
    </w:p>
    <w:p>
      <w:pPr>
        <w:spacing w:after="20"/>
      </w:pPr>
      <w:r>
        <w:rPr>
          <w:rFonts w:ascii="Arial" w:hAnsi="Arial"/>
          <w:b w:val="0"/>
          <w:sz w:val="18"/>
        </w:rPr>
        <w:t>Role: Official NSW Government construction procurement guidance. Its scope describes NSW Government projects. It gives quality-management examples involving nonconformity, corrective/preventive action, document control, records management and example GC21 contract clauses. Those sample clauses apply only when adopted by the actual contract. It does not prescribe universal NCR authority, acceptance criteria or closure requirements.</w:t>
      </w:r>
    </w:p>
    <w:p>
      <w:pPr>
        <w:spacing w:after="20"/>
      </w:pPr>
      <w:r>
        <w:rPr>
          <w:rFonts w:ascii="Arial" w:hAnsi="Arial"/>
          <w:b w:val="0"/>
          <w:sz w:val="18"/>
        </w:rPr>
        <w:t>Locator: Use the page headings “Scope and purpose” and “Contents of a quality management plan” for NSW Government context, quality-plan content and record management. Under the sample contract clauses, see the GC21 examples concerning quality records, conformity registers, nonconforming work and handover. These examples are NSW/GC21-specific and apply only when adopted by the project contract. Appendix D is linked on the page, but its DOCX body was not verified.</w:t>
      </w:r>
    </w:p>
    <w:p>
      <w:pPr>
        <w:spacing w:after="100"/>
      </w:pPr>
      <w:r>
        <w:rPr>
          <w:rFonts w:ascii="Arial" w:hAnsi="Arial"/>
          <w:b w:val="0"/>
          <w:sz w:val="18"/>
        </w:rPr>
        <w:t>Source URL: https://www.info.buy.nsw.gov.au/resources/construction/quality-management-guidelines-for-construction</w:t>
      </w:r>
    </w:p>
    <w:sectPr w:rsidR="00FC693F" w:rsidRPr="0006063C" w:rsidSect="00034616">
      <w:headerReference w:type="default" r:id="rId9"/>
      <w:footerReference w:type="default" r:id="rId10"/>
      <w:pgSz w:w="16834" w:h="11909" w:orient="landscape"/>
      <w:pgMar w:top="792" w:right="648" w:bottom="691"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167C80"/>
        <w:sz w:val="14"/>
      </w:rPr>
      <w:t xml:space="preserve">https://itp.cavoren.net/checklists/nonconformance-report/  |  Project: __________________________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167C80"/>
        <w:sz w:val="16"/>
      </w:rPr>
      <w:t>CAVOREN  |  QUALITY RECORD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3303C"/>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