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ITP Inspection and Quality Records Register</w:t>
      </w:r>
    </w:p>
    <w:p>
      <w:pPr>
        <w:spacing w:after="100"/>
      </w:pPr>
      <w:r>
        <w:rPr>
          <w:rFonts w:ascii="Arial" w:hAnsi="Arial"/>
          <w:b/>
          <w:sz w:val="20"/>
        </w:rPr>
        <w:t>Blank quality workflow record  |  Enter only project-defined actions and events supported by current records</w:t>
      </w:r>
    </w:p>
    <w:p>
      <w:pPr>
        <w:spacing w:after="20"/>
      </w:pPr>
      <w:r>
        <w:rPr>
          <w:rFonts w:ascii="Arial" w:hAnsi="Arial"/>
          <w:b/>
          <w:sz w:val="22"/>
        </w:rPr>
        <w:t>Scope</w:t>
      </w:r>
    </w:p>
    <w:p>
      <w:pPr>
        <w:spacing w:after="60"/>
      </w:pPr>
      <w:r>
        <w:rPr>
          <w:rFonts w:ascii="Arial" w:hAnsi="Arial"/>
          <w:b w:val="0"/>
          <w:sz w:val="18"/>
        </w:rPr>
        <w:t>Included: Cross-trade register structure for identifying controlled requirements, ITP checkpoints, responsible and notified roles, actual inspection or test record references, open issues, evidence and separately documented completion, release and handover status. Each row is an index entry, not a substitute for the underlying evidence.</w:t>
      </w:r>
    </w:p>
    <w:p>
      <w:pPr>
        <w:spacing w:after="60"/>
      </w:pPr>
      <w:r>
        <w:rPr>
          <w:rFonts w:ascii="Arial" w:hAnsi="Arial"/>
          <w:b w:val="0"/>
          <w:sz w:val="18"/>
        </w:rPr>
        <w:t>Excluded: Creating project acceptance criteria, selecting standards or test methods, deciding whether an inspection passes, recording work that did not occur, approving a hold-point release, certifying compliance, or replacing the contract, approved ITP, test report, NCR, as-built drawing, certificate or O&amp;M document.</w:t>
      </w:r>
    </w:p>
    <w:p>
      <w:pPr>
        <w:spacing w:after="20"/>
      </w:pPr>
      <w:r>
        <w:rPr>
          <w:rFonts w:ascii="Arial" w:hAnsi="Arial"/>
          <w:b/>
          <w:sz w:val="22"/>
        </w:rPr>
        <w:t>Use and project setup</w:t>
      </w:r>
    </w:p>
    <w:p>
      <w:pPr>
        <w:spacing w:after="40"/>
      </w:pPr>
      <w:r>
        <w:rPr>
          <w:rFonts w:ascii="Arial" w:hAnsi="Arial"/>
          <w:b w:val="0"/>
          <w:sz w:val="18"/>
        </w:rPr>
        <w:t>Project field: Project / contract / principal  ______________________________________________</w:t>
      </w:r>
    </w:p>
    <w:p>
      <w:pPr>
        <w:spacing w:after="40"/>
      </w:pPr>
      <w:r>
        <w:rPr>
          <w:rFonts w:ascii="Arial" w:hAnsi="Arial"/>
          <w:b w:val="0"/>
          <w:sz w:val="18"/>
        </w:rPr>
        <w:t>Project field: Package / trade / contractor  ______________________________________________</w:t>
      </w:r>
    </w:p>
    <w:p>
      <w:pPr>
        <w:spacing w:after="40"/>
      </w:pPr>
      <w:r>
        <w:rPr>
          <w:rFonts w:ascii="Arial" w:hAnsi="Arial"/>
          <w:b w:val="0"/>
          <w:sz w:val="18"/>
        </w:rPr>
        <w:t>Project field: Register owner / role  ______________________________________________</w:t>
      </w:r>
    </w:p>
    <w:p>
      <w:pPr>
        <w:spacing w:after="40"/>
      </w:pPr>
      <w:r>
        <w:rPr>
          <w:rFonts w:ascii="Arial" w:hAnsi="Arial"/>
          <w:b w:val="0"/>
          <w:sz w:val="18"/>
        </w:rPr>
        <w:t>Project field: Register issue / revision / date  ______________________________________________</w:t>
      </w:r>
    </w:p>
    <w:p>
      <w:pPr>
        <w:spacing w:after="40"/>
      </w:pPr>
      <w:r>
        <w:rPr>
          <w:rFonts w:ascii="Arial" w:hAnsi="Arial"/>
          <w:b w:val="0"/>
          <w:sz w:val="18"/>
        </w:rPr>
        <w:t>Project field: Contract quality plan / ITP source and revision  ______________________________________________</w:t>
      </w:r>
    </w:p>
    <w:p>
      <w:pPr>
        <w:spacing w:after="40"/>
      </w:pPr>
      <w:r>
        <w:rPr>
          <w:rFonts w:ascii="Arial" w:hAnsi="Arial"/>
          <w:b w:val="0"/>
          <w:sz w:val="18"/>
        </w:rPr>
        <w:t>Project field: Record naming / document control procedure  ______________________________________________</w:t>
      </w:r>
    </w:p>
    <w:p>
      <w:pPr>
        <w:spacing w:after="40"/>
      </w:pPr>
      <w:r>
        <w:rPr>
          <w:rFonts w:ascii="Arial" w:hAnsi="Arial"/>
          <w:b w:val="0"/>
          <w:sz w:val="18"/>
        </w:rPr>
        <w:t>Project field: Project handover or dossier index reference  ______________________________________________</w:t>
      </w:r>
    </w:p>
    <w:p>
      <w:pPr>
        <w:spacing w:after="20"/>
      </w:pPr>
      <w:r>
        <w:rPr>
          <w:rFonts w:ascii="Arial" w:hAnsi="Arial"/>
          <w:b w:val="0"/>
          <w:sz w:val="16"/>
        </w:rPr>
        <w:t>Before inspection: Current contract, specification, approved drawings and ITPs — Use project-controlled sources to define the required checks, acceptance basis, notice rules, checkpoint type and release authority. This register supplies none of those requirements.</w:t>
      </w:r>
    </w:p>
    <w:p>
      <w:pPr>
        <w:spacing w:after="20"/>
      </w:pPr>
      <w:r>
        <w:rPr>
          <w:rFonts w:ascii="Arial" w:hAnsi="Arial"/>
          <w:b w:val="0"/>
          <w:sz w:val="16"/>
        </w:rPr>
        <w:t>Before inspection: Project document numbering and retention rules — Confirm record IDs, revisions, status terms, file location, required metadata, retention period and dossier format from the contract and document control procedure.</w:t>
      </w:r>
    </w:p>
    <w:p>
      <w:pPr>
        <w:spacing w:after="20"/>
      </w:pPr>
      <w:r>
        <w:rPr>
          <w:rFonts w:ascii="Arial" w:hAnsi="Arial"/>
          <w:b w:val="0"/>
          <w:sz w:val="16"/>
        </w:rPr>
        <w:t>Before inspection: Actual inspection, test and material evidence — Index source records that exist, including reports, certificates, photos or supplier records where required. An index row does not reproduce or verify its source document.</w:t>
      </w:r>
    </w:p>
    <w:p>
      <w:pPr>
        <w:spacing w:after="20"/>
      </w:pPr>
      <w:r>
        <w:rPr>
          <w:rFonts w:ascii="Arial" w:hAnsi="Arial"/>
          <w:b w:val="0"/>
          <w:sz w:val="16"/>
        </w:rPr>
        <w:t>Before inspection: Issue, recheck and NCR references — Link unresolved findings and later evidence to the applicable NCR or corrective-action record. NCR closure does not itself close a separate ITP or contract release.</w:t>
      </w:r>
    </w:p>
    <w:p>
      <w:pPr>
        <w:spacing w:after="20"/>
      </w:pPr>
      <w:r>
        <w:rPr>
          <w:rFonts w:ascii="Arial" w:hAnsi="Arial"/>
          <w:b w:val="0"/>
          <w:sz w:val="16"/>
        </w:rPr>
        <w:t>Before inspection: Separate release and handover requirements — Identify project-assigned release and handover roles, required decision records and outstanding conditions. Do not infer release or handover acceptance from a populated index.</w:t>
      </w:r>
    </w:p>
    <w:p>
      <w:pPr>
        <w:spacing w:after="20"/>
      </w:pPr>
      <w:r>
        <w:rPr>
          <w:rFonts w:ascii="Arial" w:hAnsi="Arial"/>
          <w:b/>
          <w:sz w:val="22"/>
        </w:rPr>
        <w:t>How to use</w:t>
      </w:r>
    </w:p>
    <w:p>
      <w:pPr>
        <w:spacing w:after="20"/>
      </w:pPr>
      <w:r>
        <w:rPr>
          <w:rFonts w:ascii="Arial" w:hAnsi="Arial"/>
          <w:b w:val="0"/>
          <w:sz w:val="16"/>
        </w:rPr>
        <w:t>1. Create the register from the current contract, approved quality plan, ITPs and document-control procedure. Record each source revision and its project owner.</w:t>
      </w:r>
    </w:p>
    <w:p>
      <w:pPr>
        <w:spacing w:after="20"/>
      </w:pPr>
      <w:r>
        <w:rPr>
          <w:rFonts w:ascii="Arial" w:hAnsi="Arial"/>
          <w:b w:val="0"/>
          <w:sz w:val="16"/>
        </w:rPr>
        <w:t>2. Use a stable project record identifier for each requirement or checkpoint and retain its link to the controlling clause, drawing, ITP and applicable location or lot.</w:t>
      </w:r>
    </w:p>
    <w:p>
      <w:pPr>
        <w:spacing w:after="20"/>
      </w:pPr>
      <w:r>
        <w:rPr>
          <w:rFonts w:ascii="Arial" w:hAnsi="Arial"/>
          <w:b w:val="0"/>
          <w:sz w:val="16"/>
        </w:rPr>
        <w:t>3. Record checkpoint type and notice arrangements exactly as assigned in project documents. Enter planned requirements separately from an actual inspection or test result.</w:t>
      </w:r>
    </w:p>
    <w:p>
      <w:pPr>
        <w:spacing w:after="20"/>
      </w:pPr>
      <w:r>
        <w:rPr>
          <w:rFonts w:ascii="Arial" w:hAnsi="Arial"/>
          <w:b w:val="0"/>
          <w:sz w:val="16"/>
        </w:rPr>
        <w:t>4. Add actual events only after they occur. Link the result, inspector, date, evidence file and any NCR or recheck to the underlying record. Leave unknown, future and incomplete events blank or use the project-defined pending term.</w:t>
      </w:r>
    </w:p>
    <w:p>
      <w:pPr>
        <w:spacing w:after="20"/>
      </w:pPr>
      <w:r>
        <w:rPr>
          <w:rFonts w:ascii="Arial" w:hAnsi="Arial"/>
          <w:b w:val="0"/>
          <w:sz w:val="16"/>
        </w:rPr>
        <w:t>5. Index source documents with their actual title, revision, date, author or issuer, status and controlled location. The index is a navigation aid; preserve each original report or evidence file.</w:t>
      </w:r>
    </w:p>
    <w:p>
      <w:pPr>
        <w:spacing w:after="20"/>
      </w:pPr>
      <w:r>
        <w:rPr>
          <w:rFonts w:ascii="Arial" w:hAnsi="Arial"/>
          <w:b w:val="0"/>
          <w:sz w:val="16"/>
        </w:rPr>
        <w:t>6. Track action status, inspection result, NCR closure, contractual release and handover completeness in their own fields. Use only the authority and status definitions established by the project.</w:t>
      </w:r>
    </w:p>
    <w:p>
      <w:pPr>
        <w:spacing w:after="20"/>
      </w:pPr>
      <w:r>
        <w:rPr>
          <w:rFonts w:ascii="Arial" w:hAnsi="Arial"/>
          <w:b w:val="0"/>
          <w:sz w:val="16"/>
        </w:rPr>
        <w:t>7. Reconcile the register against the contract handover schedule and project document-control process before a responsible project reviewer records completion.</w:t>
      </w:r>
    </w:p>
    <w:p>
      <w:pPr>
        <w:spacing w:after="0"/>
      </w:pPr>
      <w:r>
        <w:rPr>
          <w:rFonts w:ascii="Arial" w:hAnsi="Arial"/>
          <w:b w:val="0"/>
          <w:sz w:val="14"/>
        </w:rPr>
        <w:t>Important: Blank register. Populate it from the current controlled project documents and the project records actually created. Every status, date, result, role and document reference remains blank until evidenced. NCR closure, inspection result, contractual release and dossier/handover completeness are distinct fields and decisions. A complete index does not establish that indexed work complies.</w:t>
      </w:r>
    </w:p>
    <w:p>
      <w:r>
        <w:br w:type="page"/>
      </w:r>
    </w:p>
    <w:p>
      <w:pPr>
        <w:spacing w:after="60"/>
      </w:pPr>
      <w:r>
        <w:rPr>
          <w:rFonts w:ascii="Arial" w:hAnsi="Arial"/>
          <w:b/>
          <w:sz w:val="30"/>
        </w:rPr>
        <w:t>ITP document register</w:t>
      </w:r>
    </w:p>
    <w:p>
      <w:pPr>
        <w:spacing w:after="80"/>
      </w:pPr>
      <w:r>
        <w:rPr>
          <w:rFonts w:ascii="Arial" w:hAnsi="Arial"/>
          <w:b w:val="0"/>
          <w:sz w:val="17"/>
        </w:rPr>
        <w:t>Index controlled ITP documents and revisions required by the project. Each row points to a source file. Record status and supersession only from the document-control process; an index entry does not approve the ITP.</w:t>
      </w:r>
    </w:p>
    <w:p>
      <w:pPr>
        <w:spacing w:after="80"/>
      </w:pPr>
      <w:r>
        <w:rPr>
          <w:rFonts w:ascii="Arial" w:hAnsi="Arial"/>
          <w:b w:val="0"/>
          <w:sz w:val="16"/>
        </w:rPr>
        <w:t>Project / contract: ______________________________  Register owner / role: ______________________________  Revision / date: ____________________</w:t>
      </w:r>
    </w:p>
    <w:tbl>
      <w:tblPr>
        <w:tblStyle w:val="TableGrid"/>
        <w:tblW w:type="auto" w:w="0"/>
        <w:tblLayout w:type="fixed"/>
        <w:tblLook w:firstColumn="1" w:firstRow="1" w:lastColumn="0" w:lastRow="0" w:noHBand="0" w:noVBand="1" w:val="04A0"/>
      </w:tblPr>
      <w:tblGrid>
        <w:gridCol w:w="2220"/>
        <w:gridCol w:w="2220"/>
        <w:gridCol w:w="2220"/>
        <w:gridCol w:w="2220"/>
        <w:gridCol w:w="2220"/>
        <w:gridCol w:w="2220"/>
        <w:gridCol w:w="2220"/>
      </w:tblGrid>
      <w:tr>
        <w:trPr>
          <w:trHeight w:val="792" w:hRule="atLeast"/>
          <w:tblHeader w:val="true"/>
          <w:cantSplit/>
        </w:trPr>
        <w:tc>
          <w:tcPr>
            <w:tcW w:type="dxa" w:w="2226"/>
            <w:vAlign w:val="center"/>
            <w:shd w:fill="167C80"/>
          </w:tcPr>
          <w:p>
            <w:pPr>
              <w:spacing w:after="0"/>
            </w:pPr>
            <w:r>
              <w:rPr>
                <w:rFonts w:ascii="Arial" w:hAnsi="Arial"/>
                <w:b/>
                <w:color w:val="FFFFFF"/>
                <w:sz w:val="14"/>
              </w:rPr>
              <w:t>Package / area</w:t>
            </w:r>
          </w:p>
        </w:tc>
        <w:tc>
          <w:tcPr>
            <w:tcW w:type="dxa" w:w="2226"/>
            <w:vAlign w:val="center"/>
            <w:shd w:fill="167C80"/>
          </w:tcPr>
          <w:p>
            <w:pPr>
              <w:spacing w:after="0"/>
            </w:pPr>
            <w:r>
              <w:rPr>
                <w:rFonts w:ascii="Arial" w:hAnsi="Arial"/>
                <w:b/>
                <w:color w:val="FFFFFF"/>
                <w:sz w:val="14"/>
              </w:rPr>
              <w:t>ITP ID / title</w:t>
            </w:r>
          </w:p>
        </w:tc>
        <w:tc>
          <w:tcPr>
            <w:tcW w:type="dxa" w:w="1736"/>
            <w:vAlign w:val="center"/>
            <w:shd w:fill="167C80"/>
          </w:tcPr>
          <w:p>
            <w:pPr>
              <w:spacing w:after="0"/>
            </w:pPr>
            <w:r>
              <w:rPr>
                <w:rFonts w:ascii="Arial" w:hAnsi="Arial"/>
                <w:b/>
                <w:color w:val="FFFFFF"/>
                <w:sz w:val="14"/>
              </w:rPr>
              <w:t>Revision / issue date</w:t>
            </w:r>
          </w:p>
        </w:tc>
        <w:tc>
          <w:tcPr>
            <w:tcW w:type="dxa" w:w="1736"/>
            <w:vAlign w:val="center"/>
            <w:shd w:fill="167C80"/>
          </w:tcPr>
          <w:p>
            <w:pPr>
              <w:spacing w:after="0"/>
            </w:pPr>
            <w:r>
              <w:rPr>
                <w:rFonts w:ascii="Arial" w:hAnsi="Arial"/>
                <w:b/>
                <w:color w:val="FFFFFF"/>
                <w:sz w:val="14"/>
              </w:rPr>
              <w:t>Document status / source</w:t>
            </w:r>
          </w:p>
        </w:tc>
        <w:tc>
          <w:tcPr>
            <w:tcW w:type="dxa" w:w="2226"/>
            <w:vAlign w:val="center"/>
            <w:shd w:fill="167C80"/>
          </w:tcPr>
          <w:p>
            <w:pPr>
              <w:spacing w:after="0"/>
            </w:pPr>
            <w:r>
              <w:rPr>
                <w:rFonts w:ascii="Arial" w:hAnsi="Arial"/>
                <w:b/>
                <w:color w:val="FFFFFF"/>
                <w:sz w:val="14"/>
              </w:rPr>
              <w:t>Owner / reviewer</w:t>
            </w:r>
          </w:p>
        </w:tc>
        <w:tc>
          <w:tcPr>
            <w:tcW w:type="dxa" w:w="2226"/>
            <w:vAlign w:val="center"/>
            <w:shd w:fill="167C80"/>
          </w:tcPr>
          <w:p>
            <w:pPr>
              <w:spacing w:after="0"/>
            </w:pPr>
            <w:r>
              <w:rPr>
                <w:rFonts w:ascii="Arial" w:hAnsi="Arial"/>
                <w:b/>
                <w:color w:val="FFFFFF"/>
                <w:sz w:val="14"/>
              </w:rPr>
              <w:t>Controlled file location</w:t>
            </w:r>
          </w:p>
        </w:tc>
        <w:tc>
          <w:tcPr>
            <w:tcW w:type="dxa" w:w="3161"/>
            <w:vAlign w:val="center"/>
            <w:shd w:fill="167C80"/>
          </w:tcPr>
          <w:p>
            <w:pPr>
              <w:spacing w:after="0"/>
            </w:pPr>
            <w:r>
              <w:rPr>
                <w:rFonts w:ascii="Arial" w:hAnsi="Arial"/>
                <w:b/>
                <w:color w:val="FFFFFF"/>
                <w:sz w:val="14"/>
              </w:rPr>
              <w:t>Superseded by / review reference</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r>
        <w:trPr>
          <w:trHeight w:val="547" w:hRule="atLeast"/>
          <w:cantSplit/>
        </w:trPr>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173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2226"/>
            <w:vAlign w:val="center"/>
          </w:tcPr>
          <w:p>
            <w:pPr>
              <w:spacing w:after="0"/>
            </w:pPr>
            <w:r>
              <w:rPr>
                <w:rFonts w:ascii="Arial" w:hAnsi="Arial"/>
                <w:color w:val="23303C"/>
                <w:sz w:val="14"/>
              </w:rPr>
              <w:t xml:space="preserve"> </w:t>
            </w:r>
          </w:p>
        </w:tc>
        <w:tc>
          <w:tcPr>
            <w:tcW w:type="dxa" w:w="3161"/>
            <w:vAlign w:val="center"/>
          </w:tcPr>
          <w:p>
            <w:pPr>
              <w:spacing w:after="0"/>
            </w:pPr>
            <w:r>
              <w:rPr>
                <w:rFonts w:ascii="Arial" w:hAnsi="Arial"/>
                <w:color w:val="23303C"/>
                <w:sz w:val="14"/>
              </w:rPr>
              <w:t xml:space="preserve"> </w:t>
            </w:r>
          </w:p>
        </w:tc>
      </w:tr>
    </w:tbl>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REG-01  Register basis and document control</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Identify the contract quality and document-control sources governing this register.</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approved quality plan and ITP revisions, register owner, numbering convention, document repository, status vocabulary and any contract handover schedule.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register basis is traceable to current project-controlled sources. A sample clause or external guide is not substituted for the actual contract.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Executed contract and amendments, approved quality plan, document-control procedure and current ITP index.</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Contract / package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Quality plan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ITP list / revisions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Register owner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Document-control procedure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Handover schedule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REG-02  Requirement and checkpoint mapping</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Link each required checkpoint to the source requirement, ITP and defined project record.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Index the requirement clause or drawing detail, ITP item and record identifier. Enter Hold, Witness, Review or other checkpoint terms only where the project assigns them.</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mapping uses the controlled project wording and revision. The register does not create acceptance criteria, notice periods, a checkpoint type or an authority.</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contract specifications, approved drawings, submittals and ITPs.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Requirement / clause / drawing detail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Source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ITP ID / item</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Checkpoint type exactly as assigned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record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notice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REG-03  Assigned people and planned notices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project-assigned inspection roles and actual notice obligations without implying the event occurred.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named roles to the contract or ITP and record planned dates or notice details only when the project schedule provides them. Record sent notices in the event history with their real reference and timestamp.</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planned requirement and actual notification evidence remain distinct. No witness attendance or notice compliance is inferred from an assigned role.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ITP, communication procedure, contract notice clauses and actual notice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Assigned inspector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Client / verifier role if required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notice period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Planned event date / basis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notice reference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Attendance / response evidence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REG-04  Actual inspection and test records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Index an inspection or test only when its underlying project record exists.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the actual record ID, date, location or lot, issuer, method and source acceptance reference. Link the signed or issued report, instrument output, material certificate or photo only where the project requires it.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register stores evidence references and actual status supplied by the source record. It does not calculate or assign Pass, Fail, N/A or test acceptance.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ITP, applicable project method and original inspection/test report or certificate.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Inspection / report ID and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date / time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Issuer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and acceptance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result copied with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Evidence file / controlled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REG-05  Material and supplier records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Index material and supplier records required by the project for the relevant work lot.</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certificates, delivery records, product data, approvals and batch/heat/serial identifiers to the actual location or asset where required. Confirm document identity and status in the controlled repository.</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Only records required by the project and actually supplied or issued are indexed. A listed certificate does not by itself approve design or prove installation conformity.</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specification, approved submittals, procurement/traceability process and source supplier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Product / material / supplier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Batch / heat / serial / lot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certificate / submittal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document ID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Mapped area / installed quantity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 / status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REG-06  NCR, action and recheck links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Link a nonconformance and its later records without treating an NCR closeout as an inspection result or release.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the NCR ID, affected lots, authorised disposition, actual action evidence, recheck record and separate open conditions from the source records.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NCR status is copied from its authorised record. Any ITP checkpoint, concealment or contractual release remains a separate status and decision.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procedure, issued disposition, recheck record and contract/ITP release requirements.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NCR ID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Affected lot / checkpoint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Disposition authority /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Action evidence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source / actual status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Separate release status /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REG-07  Conformity record index</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Index final records and source documents required by the actual contract handover schedule.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issued as-executed information, O&amp;M manuals, test reports, material records, notices, certifications and other applicable records to the project schedule and controlled file location.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register points to the source file and its actual revision/status. It is not a substitute for the original evidence or proof that every project-required document has been accepted.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Executed contract handover requirements, controlled dossier index and source document register.</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Handover item / contract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document / owner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file / record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Revision / issue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Controlled repository path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 / acceptance reference if required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REG-08  Separate release and handover review</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actual project release and handover decisions in their designated records.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Identify outstanding checkpoints and document conditions. Link the named authorised decision maker, decision, date, scope, conditions and separate record reference for any release or handover review.</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 populated register does not establish compliance, completion, formal release or accepted handover. Those statuses require their own project evidence and authority.</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Contract, approved ITP, hold-point/notice process, release instruction and handover review record.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Open checkpoint / issue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outstanding document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Release authority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release decision /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Handover review / decision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Conditions / follow-up owner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0"/>
        </w:rPr>
        <w:t>Actual inspection and record events</w:t>
      </w:r>
    </w:p>
    <w:p>
      <w:pPr>
        <w:spacing w:after="80"/>
      </w:pPr>
      <w:r>
        <w:rPr>
          <w:rFonts w:ascii="Arial" w:hAnsi="Arial"/>
          <w:b w:val="0"/>
          <w:sz w:val="17"/>
        </w:rPr>
        <w:t>Add an entry only after the inspection, test, notice, record issue or review occurs. Link it to the controlling ITP and underlying record. A blank row is not a planned or completed event.</w:t>
      </w:r>
    </w:p>
    <w:p>
      <w:pPr>
        <w:spacing w:after="40"/>
      </w:pPr>
      <w:r>
        <w:rPr>
          <w:rFonts w:ascii="Arial" w:hAnsi="Arial"/>
          <w:b w:val="0"/>
          <w:sz w:val="16"/>
        </w:rPr>
        <w:t>Project / contract: ______________________________    Element / pour / lot: ______________________________    Date / shift: ____________________</w:t>
      </w:r>
    </w:p>
    <w:p>
      <w:pPr>
        <w:spacing w:after="80"/>
      </w:pPr>
      <w:r>
        <w:rPr>
          <w:rFonts w:ascii="Arial" w:hAnsi="Arial"/>
          <w:b w:val="0"/>
          <w:sz w:val="16"/>
        </w:rPr>
        <w:t>Location / area: ______________________________    Record reference / revision: ______________________________</w:t>
      </w:r>
    </w:p>
    <w:tbl>
      <w:tblPr>
        <w:tblStyle w:val="TableGrid"/>
        <w:tblW w:type="auto" w:w="0"/>
        <w:tblLayout w:type="fixed"/>
        <w:tblLook w:firstColumn="1" w:firstRow="1" w:lastColumn="0" w:lastRow="0" w:noHBand="0" w:noVBand="1" w:val="04A0"/>
      </w:tblPr>
      <w:tblGrid>
        <w:gridCol w:w="1942"/>
        <w:gridCol w:w="1942"/>
        <w:gridCol w:w="1942"/>
        <w:gridCol w:w="1942"/>
        <w:gridCol w:w="1942"/>
        <w:gridCol w:w="1942"/>
        <w:gridCol w:w="1942"/>
        <w:gridCol w:w="1942"/>
      </w:tblGrid>
      <w:tr>
        <w:trPr>
          <w:trHeight w:val="691" w:hRule="atLeast"/>
          <w:tblHeader w:val="true"/>
          <w:cantSplit/>
        </w:trPr>
        <w:tc>
          <w:tcPr>
            <w:tcW w:type="dxa" w:w="1519"/>
            <w:vAlign w:val="center"/>
            <w:shd w:fill="167C80"/>
          </w:tcPr>
          <w:p>
            <w:pPr>
              <w:spacing w:after="0" w:line="240" w:lineRule="auto"/>
            </w:pPr>
            <w:r>
              <w:rPr>
                <w:rFonts w:ascii="Arial" w:hAnsi="Arial"/>
                <w:b/>
                <w:color w:val="FFFFFF"/>
                <w:sz w:val="14"/>
              </w:rPr>
              <w:t>Date / time</w:t>
            </w:r>
          </w:p>
        </w:tc>
        <w:tc>
          <w:tcPr>
            <w:tcW w:type="dxa" w:w="1947"/>
            <w:vAlign w:val="center"/>
            <w:shd w:fill="167C80"/>
          </w:tcPr>
          <w:p>
            <w:pPr>
              <w:spacing w:after="0" w:line="240" w:lineRule="auto"/>
            </w:pPr>
            <w:r>
              <w:rPr>
                <w:rFonts w:ascii="Arial" w:hAnsi="Arial"/>
                <w:b/>
                <w:color w:val="FFFFFF"/>
                <w:sz w:val="14"/>
              </w:rPr>
              <w:t>ITP ID / revision / checkpoint</w:t>
            </w:r>
          </w:p>
        </w:tc>
        <w:tc>
          <w:tcPr>
            <w:tcW w:type="dxa" w:w="1947"/>
            <w:vAlign w:val="center"/>
            <w:shd w:fill="167C80"/>
          </w:tcPr>
          <w:p>
            <w:pPr>
              <w:spacing w:after="0" w:line="240" w:lineRule="auto"/>
            </w:pPr>
            <w:r>
              <w:rPr>
                <w:rFonts w:ascii="Arial" w:hAnsi="Arial"/>
                <w:b/>
                <w:color w:val="FFFFFF"/>
                <w:sz w:val="14"/>
              </w:rPr>
              <w:t>Location / lot</w:t>
            </w:r>
          </w:p>
        </w:tc>
        <w:tc>
          <w:tcPr>
            <w:tcW w:type="dxa" w:w="1947"/>
            <w:vAlign w:val="center"/>
            <w:shd w:fill="167C80"/>
          </w:tcPr>
          <w:p>
            <w:pPr>
              <w:spacing w:after="0" w:line="240" w:lineRule="auto"/>
            </w:pPr>
            <w:r>
              <w:rPr>
                <w:rFonts w:ascii="Arial" w:hAnsi="Arial"/>
                <w:b/>
                <w:color w:val="FFFFFF"/>
                <w:sz w:val="14"/>
              </w:rPr>
              <w:t>Event type / source</w:t>
            </w:r>
          </w:p>
        </w:tc>
        <w:tc>
          <w:tcPr>
            <w:tcW w:type="dxa" w:w="1947"/>
            <w:vAlign w:val="center"/>
            <w:shd w:fill="167C80"/>
          </w:tcPr>
          <w:p>
            <w:pPr>
              <w:spacing w:after="0" w:line="240" w:lineRule="auto"/>
            </w:pPr>
            <w:r>
              <w:rPr>
                <w:rFonts w:ascii="Arial" w:hAnsi="Arial"/>
                <w:b/>
                <w:color w:val="FFFFFF"/>
                <w:sz w:val="14"/>
              </w:rPr>
              <w:t>Inspector / issuer / role</w:t>
            </w:r>
          </w:p>
        </w:tc>
        <w:tc>
          <w:tcPr>
            <w:tcW w:type="dxa" w:w="1519"/>
            <w:vAlign w:val="center"/>
            <w:shd w:fill="167C80"/>
          </w:tcPr>
          <w:p>
            <w:pPr>
              <w:spacing w:after="0" w:line="240" w:lineRule="auto"/>
            </w:pPr>
            <w:r>
              <w:rPr>
                <w:rFonts w:ascii="Arial" w:hAnsi="Arial"/>
                <w:b/>
                <w:color w:val="FFFFFF"/>
                <w:sz w:val="14"/>
              </w:rPr>
              <w:t>Actual result / status source</w:t>
            </w:r>
          </w:p>
        </w:tc>
        <w:tc>
          <w:tcPr>
            <w:tcW w:type="dxa" w:w="2765"/>
            <w:vAlign w:val="center"/>
            <w:shd w:fill="167C80"/>
          </w:tcPr>
          <w:p>
            <w:pPr>
              <w:spacing w:after="0" w:line="240" w:lineRule="auto"/>
            </w:pPr>
            <w:r>
              <w:rPr>
                <w:rFonts w:ascii="Arial" w:hAnsi="Arial"/>
                <w:b/>
                <w:color w:val="FFFFFF"/>
                <w:sz w:val="14"/>
              </w:rPr>
              <w:t>Report / evidence ID</w:t>
            </w:r>
          </w:p>
        </w:tc>
        <w:tc>
          <w:tcPr>
            <w:tcW w:type="dxa" w:w="1947"/>
            <w:vAlign w:val="center"/>
            <w:shd w:fill="167C80"/>
          </w:tcPr>
          <w:p>
            <w:pPr>
              <w:spacing w:after="0" w:line="240" w:lineRule="auto"/>
            </w:pPr>
            <w:r>
              <w:rPr>
                <w:rFonts w:ascii="Arial" w:hAnsi="Arial"/>
                <w:b/>
                <w:color w:val="FFFFFF"/>
                <w:sz w:val="14"/>
              </w:rPr>
              <w:t>Issue / release / handover link</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r>
        <w:trPr>
          <w:cantSplit/>
          <w:trHeight w:val="547" w:hRule="atLeast"/>
        </w:trPr>
        <w:tc>
          <w:tcPr>
            <w:tcW w:type="dxa" w:w="1519"/>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c>
          <w:tcPr>
            <w:tcW w:type="dxa" w:w="1519"/>
            <w:vAlign w:val="center"/>
          </w:tcPr>
          <w:p>
            <w:pPr>
              <w:spacing w:after="0" w:line="240" w:lineRule="auto"/>
            </w:pPr>
            <w:r>
              <w:rPr>
                <w:rFonts w:ascii="Arial" w:hAnsi="Arial"/>
                <w:color w:val="23303C"/>
                <w:sz w:val="14"/>
              </w:rPr>
              <w:t xml:space="preserve"> </w:t>
            </w:r>
          </w:p>
        </w:tc>
        <w:tc>
          <w:tcPr>
            <w:tcW w:type="dxa" w:w="2765"/>
            <w:vAlign w:val="center"/>
          </w:tcPr>
          <w:p>
            <w:pPr>
              <w:spacing w:after="0" w:line="240" w:lineRule="auto"/>
            </w:pPr>
            <w:r>
              <w:rPr>
                <w:rFonts w:ascii="Arial" w:hAnsi="Arial"/>
                <w:color w:val="23303C"/>
                <w:sz w:val="14"/>
              </w:rPr>
              <w:t xml:space="preserve"> </w:t>
            </w:r>
          </w:p>
        </w:tc>
        <w:tc>
          <w:tcPr>
            <w:tcW w:type="dxa" w:w="1947"/>
            <w:vAlign w:val="center"/>
          </w:tcPr>
          <w:p>
            <w:pPr>
              <w:spacing w:after="0" w:line="240" w:lineRule="auto"/>
            </w:pPr>
            <w:r>
              <w:rPr>
                <w:rFonts w:ascii="Arial" w:hAnsi="Arial"/>
                <w:color w:val="23303C"/>
                <w:sz w:val="14"/>
              </w:rPr>
              <w:t xml:space="preserve"> </w:t>
            </w:r>
          </w:p>
        </w:tc>
      </w:tr>
    </w:tbl>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40"/>
      </w:pPr>
      <w:r>
        <w:rPr>
          <w:rFonts w:ascii="Arial" w:hAnsi="Arial"/>
          <w:b w:val="0"/>
          <w:sz w:val="6"/>
        </w:rPr>
      </w:r>
    </w:p>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Register and dossier review</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Register review status</w:t>
      </w:r>
    </w:p>
    <w:p>
      <w:pPr>
        <w:spacing w:after="80"/>
      </w:pPr>
      <w:r>
        <w:rPr>
          <w:rFonts w:ascii="Arial" w:hAnsi="Arial"/>
          <w:b w:val="0"/>
          <w:sz w:val="18"/>
        </w:rPr>
        <w:t>[  ] Records being compiled</w:t>
      </w:r>
    </w:p>
    <w:p>
      <w:pPr>
        <w:spacing w:after="80"/>
      </w:pPr>
      <w:r>
        <w:rPr>
          <w:rFonts w:ascii="Arial" w:hAnsi="Arial"/>
          <w:b w:val="0"/>
          <w:sz w:val="18"/>
        </w:rPr>
        <w:t>[  ] Project review or source record outstanding</w:t>
      </w:r>
    </w:p>
    <w:p>
      <w:pPr>
        <w:spacing w:after="80"/>
      </w:pPr>
      <w:r>
        <w:rPr>
          <w:rFonts w:ascii="Arial" w:hAnsi="Arial"/>
          <w:b w:val="0"/>
          <w:sz w:val="18"/>
        </w:rPr>
        <w:t>[  ] Index reviewed under the project process</w:t>
      </w:r>
    </w:p>
    <w:p>
      <w:pPr>
        <w:spacing w:after="100"/>
      </w:pPr>
      <w:r>
        <w:rPr>
          <w:rFonts w:ascii="Arial" w:hAnsi="Arial"/>
          <w:b w:val="0"/>
          <w:sz w:val="18"/>
        </w:rPr>
        <w:t>Choose only the state evidenced by the project process. Index review does not establish compliance, approve an inspection result, close an NCR or make a contractual release decision.</w:t>
      </w:r>
    </w:p>
    <w:p>
      <w:pPr>
        <w:spacing w:after="20"/>
      </w:pPr>
      <w:r>
        <w:rPr>
          <w:rFonts w:ascii="Arial" w:hAnsi="Arial"/>
          <w:b/>
          <w:sz w:val="20"/>
        </w:rPr>
        <w:t>Handover roles and references</w:t>
      </w:r>
    </w:p>
    <w:p>
      <w:pPr>
        <w:spacing w:after="100"/>
      </w:pPr>
      <w:r>
        <w:rPr>
          <w:rFonts w:ascii="Arial" w:hAnsi="Arial"/>
          <w:b w:val="0"/>
          <w:sz w:val="18"/>
        </w:rPr>
        <w:t>Register owner / role / revision  ______________________________________________</w:t>
      </w:r>
    </w:p>
    <w:p>
      <w:pPr>
        <w:spacing w:after="100"/>
      </w:pPr>
      <w:r>
        <w:rPr>
          <w:rFonts w:ascii="Arial" w:hAnsi="Arial"/>
          <w:b w:val="0"/>
          <w:sz w:val="18"/>
        </w:rPr>
        <w:t>Source record reviewer / reference  ______________________________________________</w:t>
      </w:r>
    </w:p>
    <w:p>
      <w:pPr>
        <w:spacing w:after="100"/>
      </w:pPr>
      <w:r>
        <w:rPr>
          <w:rFonts w:ascii="Arial" w:hAnsi="Arial"/>
          <w:b w:val="0"/>
          <w:sz w:val="18"/>
        </w:rPr>
        <w:t>NCR and action owner / status source  ______________________________________________</w:t>
      </w:r>
    </w:p>
    <w:p>
      <w:pPr>
        <w:spacing w:after="100"/>
      </w:pPr>
      <w:r>
        <w:rPr>
          <w:rFonts w:ascii="Arial" w:hAnsi="Arial"/>
          <w:b w:val="0"/>
          <w:sz w:val="18"/>
        </w:rPr>
        <w:t>Release authority / separate record  ______________________________________________</w:t>
      </w:r>
    </w:p>
    <w:p>
      <w:pPr>
        <w:spacing w:after="100"/>
      </w:pPr>
      <w:r>
        <w:rPr>
          <w:rFonts w:ascii="Arial" w:hAnsi="Arial"/>
          <w:b w:val="0"/>
          <w:sz w:val="18"/>
        </w:rPr>
        <w:t>Handover reviewer / decision and conditions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NSW Government, Quality management guidelines for construction</w:t>
      </w:r>
    </w:p>
    <w:p>
      <w:pPr>
        <w:spacing w:after="20"/>
      </w:pPr>
      <w:r>
        <w:rPr>
          <w:rFonts w:ascii="Arial" w:hAnsi="Arial"/>
          <w:b w:val="0"/>
          <w:sz w:val="18"/>
        </w:rPr>
        <w:t>Role: Official NSW Government construction procurement guidance. The page describes NSW Government project scope and gives examples of quality-plan, ITP, nonconformity, document-control, register and handover record interfaces. Its sample GC21 clauses are not universal requirements and apply only when adopted by a project's actual contract. The linked Appendix D ITP DOCX was not readable in the source check, so no claim about its detailed contents is made.</w:t>
      </w:r>
    </w:p>
    <w:p>
      <w:pPr>
        <w:spacing w:after="20"/>
      </w:pPr>
      <w:r>
        <w:rPr>
          <w:rFonts w:ascii="Arial" w:hAnsi="Arial"/>
          <w:b w:val="0"/>
          <w:sz w:val="18"/>
        </w:rPr>
        <w:t>Locator: Use the page headings “Scope and purpose” and “Contents of a quality management plan” for NSW Government context, quality-plan content and record management. Under the sample contract clauses, see the GC21 examples concerning quality records, conformity registers, nonconforming work and handover. These examples are NSW/GC21-specific and apply only when adopted by the project contract. Appendix D is linked on the page, but its DOCX body was not verified.</w:t>
      </w:r>
    </w:p>
    <w:p>
      <w:pPr>
        <w:spacing w:after="100"/>
      </w:pPr>
      <w:r>
        <w:rPr>
          <w:rFonts w:ascii="Arial" w:hAnsi="Arial"/>
          <w:b w:val="0"/>
          <w:sz w:val="18"/>
        </w:rPr>
        <w:t>Source URL: https://www.info.buy.nsw.gov.au/resources/construction/quality-management-guidelines-for-construction</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https://itp.cavoren.net/checklists/itp-register/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QUALITY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