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Sampling and Test Record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Field identity, sampling/test method reference, custody transfer, laboratory report transcription, project-specific review and exception closeout for ordinary cast-in-place concrete tests.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Prescribing test operations or sampling rates; generic acceptance criteria; laboratory certification; structural interpretation; lot acceptance; curing of the constructed member or early-load authorization.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contractor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Element / grid / pour lot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Mix / batch / docket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Sample and specimen IDs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Test type / method edition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Laboratory / request ref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Lab report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Review / disposition role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specification and sampling plan — Defines sample/test type, frequency, age, required specimens, report route and acceptance basis.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Adopted test method and laboratory assignment — Names actual method edition, sampling/testing party and their responsibilities.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Delivery ticket and pour-location records — Trace sample to batch and the element represented.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Sample labels and custody/transport forms — Preserves identity across each handover to the laboratory.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Review criteria and failed-result procedure — Names the project decision authority and response for anomalous or nonconforming results.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Confirm exact project sampling plan, method edition, report route and result reviewer.</w:t>
      </w:r>
    </w:p>
    <w:p>
      <w:pPr>
        <w:spacing w:after="40"/>
      </w:pPr>
      <w:r>
        <w:rPr>
          <w:rFonts w:ascii="Arial" w:hAnsi="Arial"/>
          <w:b w:val="0"/>
          <w:sz w:val="18"/>
        </w:rPr>
        <w:t>2. Link sample and specimen IDs to actual docket, batch, pour lot and location.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tester/equipment and custody evidence only as required by adopted method; preserve contemporaneous forms.</w:t>
      </w:r>
    </w:p>
    <w:p>
      <w:pPr>
        <w:spacing w:after="40"/>
      </w:pPr>
      <w:r>
        <w:rPr>
          <w:rFonts w:ascii="Arial" w:hAnsi="Arial"/>
          <w:b w:val="0"/>
          <w:sz w:val="18"/>
        </w:rPr>
        <w:t>4. Transcribe actual results and units exactly from issued report; retain amendments and laboratory comments.</w:t>
      </w:r>
    </w:p>
    <w:p>
      <w:pPr>
        <w:spacing w:after="40"/>
      </w:pPr>
      <w:r>
        <w:rPr>
          <w:rFonts w:ascii="Arial" w:hAnsi="Arial"/>
          <w:b w:val="0"/>
          <w:sz w:val="18"/>
        </w:rPr>
        <w:t>5. Compare to the stated project criterion and record assigned reviewer decision; leave any unresolved result open for written disposition.</w:t>
      </w:r>
    </w:p>
    <w:p>
      <w:pPr>
        <w:spacing w:after="40"/>
      </w:pPr>
      <w:r>
        <w:rPr>
          <w:rFonts w:ascii="Arial" w:hAnsi="Arial"/>
          <w:b w:val="0"/>
          <w:sz w:val="18"/>
        </w:rPr>
        <w:t>6. Use the specimen register for repeat entries; continue on another blank copy when needed and retain the linked original evidence.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record. Use the actual adopted test method and project criteria; transcribe results only from the issued laboratory report. It does not certify a test or concrete lot.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CT-01  Sample identity and concrete traceability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Unique sample/set and specimen IDs, docket/batch/mix, date/time, lot, pour, element/grid and represented location.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Match labels and sampling log to docket and pour diary at sampling; preserve the defined link if a sample represents several specimens or locations.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sample and specimen IDs are legible and traceable through source batch/docket and represented element/location under the project sampling plan. Duplicate or unmatched identity remains unresolved rather than assigned by assumption.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project sampling plan, sample/label register, source delivery docket and pour-location record; cite the actual identity and mapping references.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Sample / specimen IDs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Docket / batch / mix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Date/time and sampled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Pour / lot / element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CT-02  Test purpose and method reference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Requested test type, purpose, method clause/edition, requested age or occasion and sampling/testing role.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Transcribe from project test plan and laboratory request; reconcile with report headers when issued.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purpose, method/edition and requested occasion agree with the project test plan and laboratory request. A missing or conflicting method, age or sample basis requires clarification before the affected result is assessed.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concrete specification/test plan, adopted test-method identifier and edition, and laboratory test request defining purpose and test occasion.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type / purpose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Method / clause / edition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Requested age / date basis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Sampler / tester role and request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CT-03  Tester and equipment evidence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Sampler/tester role; actual equipment identifier and calibration/verification reference where required by adopted method.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Link equipment and competence evidence to the actual sample/test record without assuming credentials or intervals.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actual performing role and any required equipment/competence records can be traced to the sample/test under the adopted procedure. Missing required evidence is referred for technical review, without assuming a credential or interval.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Adopted procedure and project testing-provider requirements, actual sampler/tester record and any required equipment calibration/verification record.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Sampler / tester name and role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Equipment ID / type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Calibration / verification ref +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Deviation / query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CT-04  Specimen preparation and field handling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specimen count/type and labels, sampling/casting time, initial storage/handling entry and any deviation required by the method.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 contemporaneously from actual sampler log and labels; point to the exact method clause for details.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Recorded specimen type/count, preparation and initial handling evidence can be reconciled with the adopted procedure. A recorded departure is retained for method-based disposition; this form supplies no preparation parameters or validity judgement.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Adopted specimen preparation/handling procedure and its clause, sampling/label log, initial storage record and any deviation instruction.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Specimen IDs / type / count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Sampling/casting time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Initial condition / storage record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Method clause / deviation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CT-05  Custody transfer and laboratory receipt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Date/time and transferring/receiving roles, specimen IDs at each handover, dispatch record and lab receipt/condition acknowledgment.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Follow actual custody forms; reconcile ID at collection, delivery and receipt. Attach chain-of-custody or dispatch evidence.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Specimen identity remains traceable across the recorded transfers and laboratory receipt, with condition or custody exceptions identified under the applicable procedure. Missing acknowledgement or mismatched IDs remain Pending.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project/laboratory chain-of-custody or dispatch form, specimen labels, transfer record and laboratory receipt acknowledgement.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Handover times and roles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Specimen IDs at transfer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Lab receipt /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Custody form / dispatch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CT-06  Issued laboratory report and actual results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 ID/revision; specimen IDs; actual value and unit; test date/time/age; reported method, comments, invalid/omitted marks.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Transcribe exactly from issued lab report; do not convert or average unless adopted method directs. Keep report with record and flag amendments.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Each transcribed value, unit, method, test date/age and comment agrees with the identifiable issued report and specimen. Amendments and invalid/omitted result marks are retained; transcription alone does not establish project conformity.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Original issued laboratory report and amendment/revision, sample/specimen register and the project test request or method used for reconciliation.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Report no.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Specimen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result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Test date and age / unit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Method / comments / amendment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CT-07  Project criterion and assigned result review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Exact criterion, source document/revision/clause, actual result comparison/calculation if required, named assigned reviewer and recorded status.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issued report against project test plan; show criterion and report side by side and have the assigned role record conclusion.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assigned reviewer uses the actual governing criterion and original report to record a supported comparison and decision. An unavailable criterion or anomalous result remains open; no default strength, age or acceptance rule is set.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Governing project result-acceptance clause/test plan and its approved revision, original report and assigned result-review/decision arrangements.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+ unit / exact clause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Source document /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outcome / status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Reviewer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CT-08  Failed, missing or disputed result closeout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Affected sample/batch/element, lab query or NCR, investigation, written disposition, further evidence/retest reference and closeout status.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Carry issue into concrete delivery/placement records; link original and revised reports, instructions, action and recheck in date order.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The affected sample/batch/element, written disposition and required follow-up evidence are linked, and the project-assigned role records closure or remaining conditions. This entry grants no structural or early-work release.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nonconformance/technical-review procedure, laboratory query or amended report, written disposition and follow-up/retest evidence references.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Affected sample / batch / element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NCR / lab query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Written disposition / authority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Follow-up evidence and closeout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0"/>
        </w:rPr>
        <w:t>Specimen register</w:t>
      </w:r>
    </w:p>
    <w:p>
      <w:pPr>
        <w:spacing w:after="80"/>
      </w:pPr>
      <w:r>
        <w:rPr>
          <w:rFonts w:ascii="Arial" w:hAnsi="Arial"/>
          <w:b w:val="0"/>
          <w:sz w:val="17"/>
        </w:rPr>
        <w:t>Use one row per specimen/result entry. Keep sample-set and batch links when several specimens represent one sample. Enter laboratory results only from the issued report; preserve the original report, amendments and custody evidence. This register indexes the evidence and does not replace it.</w:t>
      </w:r>
    </w:p>
    <w:p>
      <w:pPr>
        <w:spacing w:after="40"/>
      </w:pPr>
      <w:r>
        <w:rPr>
          <w:rFonts w:ascii="Arial" w:hAnsi="Arial"/>
          <w:b w:val="0"/>
          <w:sz w:val="16"/>
        </w:rPr>
        <w:t>Project / contract: ______________________________    Element / pour / lot: ______________________________    Date / shift: ____________________</w:t>
      </w:r>
    </w:p>
    <w:p>
      <w:pPr>
        <w:spacing w:after="80"/>
      </w:pPr>
      <w:r>
        <w:rPr>
          <w:rFonts w:ascii="Arial" w:hAnsi="Arial"/>
          <w:b w:val="0"/>
          <w:sz w:val="16"/>
        </w:rPr>
        <w:t>Location / area: ______________________________    Record reference / revision: 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6"/>
        <w:gridCol w:w="1726"/>
        <w:gridCol w:w="1726"/>
        <w:gridCol w:w="1726"/>
        <w:gridCol w:w="1726"/>
        <w:gridCol w:w="1726"/>
        <w:gridCol w:w="1726"/>
        <w:gridCol w:w="1726"/>
        <w:gridCol w:w="1726"/>
      </w:tblGrid>
      <w:tr>
        <w:trPr>
          <w:trHeight w:val="691" w:hRule="atLeast"/>
          <w:tblHeader w:val="true"/>
          <w:cantSplit/>
        </w:trPr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Sample / specimen ID</w:t>
            </w:r>
          </w:p>
        </w:tc>
        <w:tc>
          <w:tcPr>
            <w:tcW w:type="dxa" w:w="138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Docket / batch ref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Element / pour location</w:t>
            </w:r>
          </w:p>
        </w:tc>
        <w:tc>
          <w:tcPr>
            <w:tcW w:type="dxa" w:w="138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Sampling date / time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Custody / lab receipt ref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Method / test age and unit</w:t>
            </w:r>
          </w:p>
        </w:tc>
        <w:tc>
          <w:tcPr>
            <w:tcW w:type="dxa" w:w="1774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Report / revision</w:t>
            </w:r>
          </w:p>
        </w:tc>
        <w:tc>
          <w:tcPr>
            <w:tcW w:type="dxa" w:w="1383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Actual result / unit</w:t>
            </w:r>
          </w:p>
        </w:tc>
        <w:tc>
          <w:tcPr>
            <w:tcW w:type="dxa" w:w="2519"/>
            <w:vAlign w:val="center"/>
            <w:shd w:fill="167C80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4"/>
              </w:rPr>
              <w:t>Review / disposition / role ref</w:t>
            </w:r>
          </w:p>
        </w:tc>
      </w:tr>
      <w:tr>
        <w:trPr>
          <w:cantSplit/>
          <w:trHeight w:val="547" w:hRule="atLeast"/>
        </w:trPr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  <w:tr>
        <w:trPr>
          <w:cantSplit/>
          <w:trHeight w:val="547" w:hRule="atLeast"/>
        </w:trPr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774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1383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  <w:tc>
          <w:tcPr>
            <w:tcW w:type="dxa" w:w="2519"/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303C"/>
                <w:sz w:val="14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Concrete test evidence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Record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Record completed; evidence filed</w:t>
      </w:r>
    </w:p>
    <w:p>
      <w:pPr>
        <w:spacing w:after="80"/>
      </w:pPr>
      <w:r>
        <w:rPr>
          <w:rFonts w:ascii="Arial" w:hAnsi="Arial"/>
          <w:b w:val="0"/>
          <w:sz w:val="18"/>
        </w:rPr>
        <w:t>[  ] Action or recheck remains open</w:t>
      </w:r>
    </w:p>
    <w:p>
      <w:pPr>
        <w:spacing w:after="80"/>
      </w:pPr>
      <w:r>
        <w:rPr>
          <w:rFonts w:ascii="Arial" w:hAnsi="Arial"/>
          <w:b w:val="0"/>
          <w:sz w:val="18"/>
        </w:rPr>
        <w:t>[  ] Project / technical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status covers traceability and report review. The laboratory reports a test; the project-assigned role reviews it against adopted criteria. Neither this sheet nor the recorder certifies concrete or authorizes early work.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Field sampler / recorder name /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Laboratory receiving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Assigned result reviewer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NCR / lab query / disposition ref  ______________________________________________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cast-in-place concrete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Scope context only; not independent technical authority or project acceptance criteria.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Original proposed sampling and result-review topics CON-10 and CON-14.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https://itp.cavoren.net/templates/concrete/</w:t>
      </w:r>
    </w:p>
    <w:p>
      <w:pPr>
        <w:spacing w:after="20"/>
      </w:pPr>
      <w:r>
        <w:rPr>
          <w:rFonts w:ascii="Arial" w:hAnsi="Arial"/>
          <w:b/>
          <w:sz w:val="20"/>
        </w:rPr>
        <w:t>Queensland Department of Transport and Main Roads, MRTS70 Concrete (July 2022)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guidance only. MRTS70 is for Queensland road/bridge infrastructure contracts (or other specified elements). Its values, timing limits, test frequencies, qualifications, H/W points, project roles and release rules are not generalized into these records.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July 2022, Clauses 12.2–12.3 (batch/location, reports and testing records); 15.2.1–15.2.5 (in-situ sampling, specimen identity and handling, and early-age interface). Requirements apply only within the adopted TMR contract scope.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https://www.tmr.qld.gov.au/-/media/busind/techstdpubs/Specifications-and-drawings/Specifications/2-Bridges-and-Structures/MRTS70.pdf</w:t>
      </w:r>
    </w:p>
    <w:p>
      <w:pPr>
        <w:spacing w:after="20"/>
      </w:pPr>
      <w:r>
        <w:rPr>
          <w:rFonts w:ascii="Arial" w:hAnsi="Arial"/>
          <w:b/>
          <w:sz w:val="20"/>
        </w:rPr>
        <w:t>Hutchies 040 Concrete Place Report (public Word report template)</w:t>
      </w:r>
    </w:p>
    <w:p>
      <w:pPr>
        <w:spacing w:after="20"/>
      </w:pPr>
      <w:r>
        <w:rPr>
          <w:rFonts w:ascii="Arial" w:hAnsi="Arial"/>
          <w:b w:val="0"/>
          <w:sz w:val="18"/>
        </w:rPr>
        <w:t>Role: Contractor-specific example of report layout and handover, not universal criteria. No Hutchies text is reproduced.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Public 040 Concrete Place Report: header and closeout fields, rows 6–13 on discharge, placement, protection, curing and final records review. Contractor example only; no technical acceptance conditions are adopted.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https://toolbox.hutchies.com.au/uploads/040-Concrete-Place-Report.docx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https://itp.cavoren.net/checklists/concrete-test-record/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