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Concrete Delivery and Batch Record</w:t>
      </w:r>
    </w:p>
    <w:p>
      <w:pPr>
        <w:spacing w:after="100"/>
      </w:pPr>
      <w:r>
        <w:rPr>
          <w:rFonts w:ascii="Arial" w:hAnsi="Arial"/>
          <w:b/>
          <w:sz w:val="20"/>
        </w:rPr>
        <w:t>Blank project field record  |  Complete from current approved documents and site observations</w:t>
      </w:r>
    </w:p>
    <w:p>
      <w:pPr>
        <w:spacing w:after="20"/>
      </w:pPr>
      <w:r>
        <w:rPr>
          <w:rFonts w:ascii="Arial" w:hAnsi="Arial"/>
          <w:b/>
          <w:sz w:val="22"/>
        </w:rPr>
        <w:t>Scope</w:t>
      </w:r>
    </w:p>
    <w:p>
      <w:pPr>
        <w:spacing w:after="60"/>
      </w:pPr>
      <w:r>
        <w:rPr>
          <w:rFonts w:ascii="Arial" w:hAnsi="Arial"/>
          <w:b w:val="0"/>
          <w:sz w:val="18"/>
        </w:rPr>
        <w:t>Included: Receipt and allocation of ordinary ready-mixed concrete to cast-in-place work, from each batch docket through reconciliation and handover.</w:t>
      </w:r>
    </w:p>
    <w:p>
      <w:pPr>
        <w:spacing w:after="60"/>
      </w:pPr>
      <w:r>
        <w:rPr>
          <w:rFonts w:ascii="Arial" w:hAnsi="Arial"/>
          <w:b w:val="0"/>
          <w:sz w:val="18"/>
        </w:rPr>
        <w:t>Excluded: Mix design approval; detailed fresh concrete testing; placement quality; specimen/laboratory reports; concrete certification; precast, piles, shotcrete and special infrastructure requirements.</w:t>
      </w:r>
    </w:p>
    <w:p>
      <w:pPr>
        <w:spacing w:after="20"/>
      </w:pPr>
      <w:r>
        <w:rPr>
          <w:rFonts w:ascii="Arial" w:hAnsi="Arial"/>
          <w:b/>
          <w:sz w:val="22"/>
        </w:rPr>
        <w:t>Use and project setup</w:t>
      </w:r>
    </w:p>
    <w:p>
      <w:pPr>
        <w:spacing w:after="40"/>
      </w:pPr>
      <w:r>
        <w:rPr>
          <w:rFonts w:ascii="Arial" w:hAnsi="Arial"/>
          <w:b w:val="0"/>
          <w:sz w:val="18"/>
        </w:rPr>
        <w:t>Project field: Project / contractor  ______________________________________________</w:t>
      </w:r>
    </w:p>
    <w:p>
      <w:pPr>
        <w:spacing w:after="40"/>
      </w:pPr>
      <w:r>
        <w:rPr>
          <w:rFonts w:ascii="Arial" w:hAnsi="Arial"/>
          <w:b w:val="0"/>
          <w:sz w:val="18"/>
        </w:rPr>
        <w:t>Project field: Pour / lot / element and grid  ______________________________________________</w:t>
      </w:r>
    </w:p>
    <w:p>
      <w:pPr>
        <w:spacing w:after="40"/>
      </w:pPr>
      <w:r>
        <w:rPr>
          <w:rFonts w:ascii="Arial" w:hAnsi="Arial"/>
          <w:b w:val="0"/>
          <w:sz w:val="18"/>
        </w:rPr>
        <w:t>Project field: Approved mix / order ref  ______________________________________________</w:t>
      </w:r>
    </w:p>
    <w:p>
      <w:pPr>
        <w:spacing w:after="40"/>
      </w:pPr>
      <w:r>
        <w:rPr>
          <w:rFonts w:ascii="Arial" w:hAnsi="Arial"/>
          <w:b w:val="0"/>
          <w:sz w:val="18"/>
        </w:rPr>
        <w:t>Project field: Supplier / batch plant  ______________________________________________</w:t>
      </w:r>
    </w:p>
    <w:p>
      <w:pPr>
        <w:spacing w:after="40"/>
      </w:pPr>
      <w:r>
        <w:rPr>
          <w:rFonts w:ascii="Arial" w:hAnsi="Arial"/>
          <w:b w:val="0"/>
          <w:sz w:val="18"/>
        </w:rPr>
        <w:t>Project field: Truck / docket no.  ______________________________________________</w:t>
      </w:r>
    </w:p>
    <w:p>
      <w:pPr>
        <w:spacing w:after="40"/>
      </w:pPr>
      <w:r>
        <w:rPr>
          <w:rFonts w:ascii="Arial" w:hAnsi="Arial"/>
          <w:b w:val="0"/>
          <w:sz w:val="18"/>
        </w:rPr>
        <w:t>Project field: Arrival and discharge times  ______________________________________________</w:t>
      </w:r>
    </w:p>
    <w:p>
      <w:pPr>
        <w:spacing w:after="40"/>
      </w:pPr>
      <w:r>
        <w:rPr>
          <w:rFonts w:ascii="Arial" w:hAnsi="Arial"/>
          <w:b w:val="0"/>
          <w:sz w:val="18"/>
        </w:rPr>
        <w:t>Project field: Recorder / receiving role  ______________________________________________</w:t>
      </w:r>
    </w:p>
    <w:p>
      <w:pPr>
        <w:spacing w:after="40"/>
      </w:pPr>
      <w:r>
        <w:rPr>
          <w:rFonts w:ascii="Arial" w:hAnsi="Arial"/>
          <w:b w:val="0"/>
          <w:sz w:val="18"/>
        </w:rPr>
        <w:t>Project field: Open instruction / NCR ref  ______________________________________________</w:t>
      </w:r>
    </w:p>
    <w:p>
      <w:pPr>
        <w:spacing w:after="40"/>
      </w:pPr>
      <w:r>
        <w:rPr>
          <w:rFonts w:ascii="Arial" w:hAnsi="Arial"/>
          <w:b w:val="0"/>
          <w:sz w:val="18"/>
        </w:rPr>
        <w:t>Before inspection: Approved mix/order and revisions — Compare actual docket identity and any changed supply with the controlled project basis.</w:t>
      </w:r>
    </w:p>
    <w:p>
      <w:pPr>
        <w:spacing w:after="40"/>
      </w:pPr>
      <w:r>
        <w:rPr>
          <w:rFonts w:ascii="Arial" w:hAnsi="Arial"/>
          <w:b w:val="0"/>
          <w:sz w:val="18"/>
        </w:rPr>
        <w:t>Before inspection: Pour map and planned truck allocation — Link each load and actual quantity to the location receiving it.</w:t>
      </w:r>
    </w:p>
    <w:p>
      <w:pPr>
        <w:spacing w:after="40"/>
      </w:pPr>
      <w:r>
        <w:rPr>
          <w:rFonts w:ascii="Arial" w:hAnsi="Arial"/>
          <w:b w:val="0"/>
          <w:sz w:val="18"/>
        </w:rPr>
        <w:t>Before inspection: Project timing and site-addition rules — Supply the exact time origin, limit, permission and responsible role where applicable.</w:t>
      </w:r>
    </w:p>
    <w:p>
      <w:pPr>
        <w:spacing w:after="40"/>
      </w:pPr>
      <w:r>
        <w:rPr>
          <w:rFonts w:ascii="Arial" w:hAnsi="Arial"/>
          <w:b w:val="0"/>
          <w:sz w:val="18"/>
        </w:rPr>
        <w:t>Before inspection: Receipt tests and assigned roles — Identify only tests and decisions required by this project.</w:t>
      </w:r>
    </w:p>
    <w:p>
      <w:pPr>
        <w:spacing w:after="40"/>
      </w:pPr>
      <w:r>
        <w:rPr>
          <w:rFonts w:ascii="Arial" w:hAnsi="Arial"/>
          <w:b w:val="0"/>
          <w:sz w:val="18"/>
        </w:rPr>
        <w:t>Before inspection: Discrepancy, unused/returned concrete and NCR process — Keep traceability and closeout for any affected load.</w:t>
      </w:r>
    </w:p>
    <w:p>
      <w:pPr>
        <w:spacing w:after="20"/>
      </w:pPr>
      <w:r>
        <w:rPr>
          <w:rFonts w:ascii="Arial" w:hAnsi="Arial"/>
          <w:b/>
          <w:sz w:val="22"/>
        </w:rPr>
        <w:t>How to use</w:t>
      </w:r>
    </w:p>
    <w:p>
      <w:pPr>
        <w:spacing w:after="40"/>
      </w:pPr>
      <w:r>
        <w:rPr>
          <w:rFonts w:ascii="Arial" w:hAnsi="Arial"/>
          <w:b w:val="0"/>
          <w:sz w:val="18"/>
        </w:rPr>
        <w:t>1. Confirm the current approved order/mix, element map, project timing basis and assigned receiving role.</w:t>
      </w:r>
    </w:p>
    <w:p>
      <w:pPr>
        <w:spacing w:after="40"/>
      </w:pPr>
      <w:r>
        <w:rPr>
          <w:rFonts w:ascii="Arial" w:hAnsi="Arial"/>
          <w:b w:val="0"/>
          <w:sz w:val="18"/>
        </w:rPr>
        <w:t>2. Enter one record per actual truck/batch; transcribe docket, times and quantity from the source.</w:t>
      </w:r>
    </w:p>
    <w:p>
      <w:pPr>
        <w:spacing w:after="40"/>
      </w:pPr>
      <w:r>
        <w:rPr>
          <w:rFonts w:ascii="Arial" w:hAnsi="Arial"/>
          <w:b w:val="0"/>
          <w:sz w:val="18"/>
        </w:rPr>
        <w:t>3. Document any site addition or altered supply only from an actual written direction and supplier/docket trail.</w:t>
      </w:r>
    </w:p>
    <w:p>
      <w:pPr>
        <w:spacing w:after="40"/>
      </w:pPr>
      <w:r>
        <w:rPr>
          <w:rFonts w:ascii="Arial" w:hAnsi="Arial"/>
          <w:b w:val="0"/>
          <w:sz w:val="18"/>
        </w:rPr>
        <w:t>4. Link the load to the real pour location and separately required sample/test record.</w:t>
      </w:r>
    </w:p>
    <w:p>
      <w:pPr>
        <w:spacing w:after="40"/>
      </w:pPr>
      <w:r>
        <w:rPr>
          <w:rFonts w:ascii="Arial" w:hAnsi="Arial"/>
          <w:b w:val="0"/>
          <w:sz w:val="18"/>
        </w:rPr>
        <w:t>5. Keep a discrepancy open until the assigned project role records a decision and evidence; reconcile leftover/returned quantity.</w:t>
      </w:r>
    </w:p>
    <w:p>
      <w:pPr>
        <w:spacing w:after="40"/>
      </w:pPr>
      <w:r>
        <w:rPr>
          <w:rFonts w:ascii="Arial" w:hAnsi="Arial"/>
          <w:b w:val="0"/>
          <w:sz w:val="18"/>
        </w:rPr>
        <w:t>6. Use the delivery log for repeat entries; continue on another blank copy when needed and retain the linked original evidence.</w:t>
      </w:r>
    </w:p>
    <w:p>
      <w:pPr>
        <w:spacing w:after="0"/>
      </w:pPr>
      <w:r>
        <w:rPr>
          <w:rFonts w:ascii="Arial" w:hAnsi="Arial"/>
          <w:b w:val="0"/>
          <w:sz w:val="16"/>
        </w:rPr>
        <w:t>Important: Blank field record. Apply the approved project criteria and record actual facts. Do not authorize a site addition or accept/reject a load by assumption.</w:t>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CD-01  Controlled pour and supply basis</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Pour/lot boundary, approved order and mix revision, location map, project timing rule and named receipt role.</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Review current controlled documents at the workface and reconcile any revision or allocation conflict before recording receipt.</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The current controlled documents identify the pour, approved supply basis and assigned receiving role. Any essential missing timing rule or revision conflict is identified for project direction before the affected receipt decision.</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Controlled pour/element register, approved concrete order and mix submission revisions, project delivery procedure and ITP responsibility/decision register.</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Element / lot / pour-map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Approved mix / order revision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Timing clause / source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Assigned receiver / role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CD-02  Truck docket and batch identity</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Supplier, truck, docket, batch/mix designation and the actual ticket particulars required by the project.</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Compare each docket to the approved order; transcribe identifiers and retain the complete ticket reference.</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The docket identifiers and supplied mix can be reconciled with the current approved order and intended pour, against the project-required ticket details. Missing or mismatched identity remains open for assigned disposition.</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Approved concrete order/mix submission, project docket-detail requirements and the actual supplier delivery docket; cite the relevant identifier and revision.</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Supplier / truck / docket</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Batch ID / mix label</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Ticket quantity / unit</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Docket file / photo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CD-03  Mix change and site-addition trail</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Any actual site water/admixture or other change, stated quantity, time, requesting person, written authorization and supplier ticket notation.</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Reconcile the order, docket and written instruction; never infer an addition or permission from appearance or verbal custom.</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Any recorded change has the permission, quantity, time, responsible authority and supplier trail required by the project. An undocumented addition is not treated as permitted; where no addition occurred, record that observation or N/A with its basis.</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Project-approved site-adjustment rule, written load-specific instruction and supplier docket/change record; record the authorising role and locator.</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Change / actual amount and unit</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Time / docket annotation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Instruction and authority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Supplier confirmation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CD-04  Batch, arrival and discharge times</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Actual dispatch/batch, arrival and discharge times, sampling time if relevant, and any event used in a project-defined time check.</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Capture times from docket and contemporaneous site logs; calculate elapsed time only where the project defines origin and method.</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Recorded times have an identifiable source and, where a project time check applies, the elapsed assessment uses its stated origin and criterion. An unclear time basis or departure is referred; no universal time limit is supplied.</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Project specification or approved delivery procedure defining the timing origin, allowed condition and assessment method, plus the source docket and site log.</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Batch / dispatch time + source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Arrival and discharge start/end</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Project timing clause / origin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Elapsed time if project requires</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CD-05  Quantity and placement allocation</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Ticketed and actual used/returned quantity, units, element/grid and any split-load allocation.</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Cross-link docket to the placement diary and pour map; reconcile leftovers to actual return or disposition evidence.</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The docket quantity and used/returned allocation are traceable to the actual pour locations under the project reconciliation procedure. Any unresolved allocation or quantity discrepancy remains open; no generic tolerance is assumed.</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Project pour/allocation map, supplier docket, quantity reconciliation procedure and actual placement/return record references.</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Ticket / used quantity + unit</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Element / grid / placement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Returned / unused quantity + unit</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Placement / return record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CD-06  Receipt observation and separate test links</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Observable load condition or reported concern; any project-required fresh test/sample ID and actual test value/unit.</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Record facts without inferring properties; link to the separate tester/method/equipment/sample record required by the project.</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Observed concerns and required test/sample references are linked to the correct delivery and location. Any measured result is traceable to its original record and evaluated only against the governing project receipt criterion.</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Project receipt inspection/test requirements and linked fresh-test or sample record, including the tester/method and original evidence reference.</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Observed condition / time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Sample or test ID</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Actual value / unit if measured</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Tester / method / evidence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CD-07  Receipt decision, exceptions and handover</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Recorded status, authorized receiving decision, open docket/time/mix/quantity/test issues, corrective instruction and closeout evidence.</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Separate recorder observation from decision; link decision maker role, conditions, NCR and recheck/closeout records.</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The assigned role records the actual load decision, conditions and supporting instruction/evidence; unresolved issues carry into the ITP/NCR. Record completion is separate from any contractual release or permission to place.</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Project concrete ITP receipt decision/notice arrangements, assigned authority, load-specific instruction, NCR and evidence of closure or handover.</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Load / affected location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Decision / role / instruction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NCR / action and recheck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Handover recipient /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60"/>
      </w:pPr>
      <w:r>
        <w:rPr>
          <w:rFonts w:ascii="Arial" w:hAnsi="Arial"/>
          <w:b/>
          <w:sz w:val="30"/>
        </w:rPr>
        <w:t>Delivery log</w:t>
      </w:r>
    </w:p>
    <w:p>
      <w:pPr>
        <w:spacing w:after="80"/>
      </w:pPr>
      <w:r>
        <w:rPr>
          <w:rFonts w:ascii="Arial" w:hAnsi="Arial"/>
          <w:b w:val="0"/>
          <w:sz w:val="17"/>
        </w:rPr>
        <w:t>Use one row for each actual truck/batch. Link split allocations and extra details by reference to a pour map or continuation sheet. Establish the project receipt criteria in the check pages first; record only actual events and the assigned receipt decision.</w:t>
      </w:r>
    </w:p>
    <w:p>
      <w:pPr>
        <w:spacing w:after="40"/>
      </w:pPr>
      <w:r>
        <w:rPr>
          <w:rFonts w:ascii="Arial" w:hAnsi="Arial"/>
          <w:b w:val="0"/>
          <w:sz w:val="16"/>
        </w:rPr>
        <w:t>Project / contract: ______________________________    Element / pour / lot: ______________________________    Date / shift: ____________________</w:t>
      </w:r>
    </w:p>
    <w:p>
      <w:pPr>
        <w:spacing w:after="80"/>
      </w:pPr>
      <w:r>
        <w:rPr>
          <w:rFonts w:ascii="Arial" w:hAnsi="Arial"/>
          <w:b w:val="0"/>
          <w:sz w:val="16"/>
        </w:rPr>
        <w:t>Location / area: ______________________________    Record reference / revision: ______________________________</w:t>
      </w:r>
    </w:p>
    <w:tbl>
      <w:tblPr>
        <w:tblStyle w:val="TableGrid"/>
        <w:tblW w:type="auto" w:w="0"/>
        <w:tblLayout w:type="fixed"/>
        <w:tblLook w:firstColumn="1" w:firstRow="1" w:lastColumn="0" w:lastRow="0" w:noHBand="0" w:noVBand="1" w:val="04A0"/>
      </w:tblPr>
      <w:tblGrid>
        <w:gridCol w:w="1942"/>
        <w:gridCol w:w="1942"/>
        <w:gridCol w:w="1942"/>
        <w:gridCol w:w="1942"/>
        <w:gridCol w:w="1942"/>
        <w:gridCol w:w="1942"/>
        <w:gridCol w:w="1942"/>
        <w:gridCol w:w="1942"/>
      </w:tblGrid>
      <w:tr>
        <w:trPr>
          <w:trHeight w:val="691" w:hRule="atLeast"/>
          <w:tblHeader w:val="true"/>
          <w:cantSplit/>
        </w:trPr>
        <w:tc>
          <w:tcPr>
            <w:tcW w:type="dxa" w:w="1603"/>
            <w:vAlign w:val="center"/>
            <w:shd w:fill="167C80"/>
          </w:tcPr>
          <w:p>
            <w:pPr>
              <w:spacing w:after="0" w:line="240" w:lineRule="auto"/>
            </w:pPr>
            <w:r>
              <w:rPr>
                <w:rFonts w:ascii="Arial" w:hAnsi="Arial"/>
                <w:b/>
                <w:color w:val="FFFFFF"/>
                <w:sz w:val="14"/>
              </w:rPr>
              <w:t>Docket / truck ID</w:t>
            </w:r>
          </w:p>
        </w:tc>
        <w:tc>
          <w:tcPr>
            <w:tcW w:type="dxa" w:w="2055"/>
            <w:vAlign w:val="center"/>
            <w:shd w:fill="167C80"/>
          </w:tcPr>
          <w:p>
            <w:pPr>
              <w:spacing w:after="0" w:line="240" w:lineRule="auto"/>
            </w:pPr>
            <w:r>
              <w:rPr>
                <w:rFonts w:ascii="Arial" w:hAnsi="Arial"/>
                <w:b/>
                <w:color w:val="FFFFFF"/>
                <w:sz w:val="14"/>
              </w:rPr>
              <w:t>Batch / mix designation</w:t>
            </w:r>
          </w:p>
        </w:tc>
        <w:tc>
          <w:tcPr>
            <w:tcW w:type="dxa" w:w="2055"/>
            <w:vAlign w:val="center"/>
            <w:shd w:fill="167C80"/>
          </w:tcPr>
          <w:p>
            <w:pPr>
              <w:spacing w:after="0" w:line="240" w:lineRule="auto"/>
            </w:pPr>
            <w:r>
              <w:rPr>
                <w:rFonts w:ascii="Arial" w:hAnsi="Arial"/>
                <w:b/>
                <w:color w:val="FFFFFF"/>
                <w:sz w:val="14"/>
              </w:rPr>
              <w:t>Element / pour / allocation ref</w:t>
            </w:r>
          </w:p>
        </w:tc>
        <w:tc>
          <w:tcPr>
            <w:tcW w:type="dxa" w:w="1603"/>
            <w:vAlign w:val="center"/>
            <w:shd w:fill="167C80"/>
          </w:tcPr>
          <w:p>
            <w:pPr>
              <w:spacing w:after="0" w:line="240" w:lineRule="auto"/>
            </w:pPr>
            <w:r>
              <w:rPr>
                <w:rFonts w:ascii="Arial" w:hAnsi="Arial"/>
                <w:b/>
                <w:color w:val="FFFFFF"/>
                <w:sz w:val="14"/>
              </w:rPr>
              <w:t>Batch time / source</w:t>
            </w:r>
          </w:p>
        </w:tc>
        <w:tc>
          <w:tcPr>
            <w:tcW w:type="dxa" w:w="2055"/>
            <w:vAlign w:val="center"/>
            <w:shd w:fill="167C80"/>
          </w:tcPr>
          <w:p>
            <w:pPr>
              <w:spacing w:after="0" w:line="240" w:lineRule="auto"/>
            </w:pPr>
            <w:r>
              <w:rPr>
                <w:rFonts w:ascii="Arial" w:hAnsi="Arial"/>
                <w:b/>
                <w:color w:val="FFFFFF"/>
                <w:sz w:val="14"/>
              </w:rPr>
              <w:t>Arrival / discharge start-end</w:t>
            </w:r>
          </w:p>
        </w:tc>
        <w:tc>
          <w:tcPr>
            <w:tcW w:type="dxa" w:w="2055"/>
            <w:vAlign w:val="center"/>
            <w:shd w:fill="167C80"/>
          </w:tcPr>
          <w:p>
            <w:pPr>
              <w:spacing w:after="0" w:line="240" w:lineRule="auto"/>
            </w:pPr>
            <w:r>
              <w:rPr>
                <w:rFonts w:ascii="Arial" w:hAnsi="Arial"/>
                <w:b/>
                <w:color w:val="FFFFFF"/>
                <w:sz w:val="14"/>
              </w:rPr>
              <w:t>Quantity / unit / used-returned</w:t>
            </w:r>
          </w:p>
        </w:tc>
        <w:tc>
          <w:tcPr>
            <w:tcW w:type="dxa" w:w="2055"/>
            <w:vAlign w:val="center"/>
            <w:shd w:fill="167C80"/>
          </w:tcPr>
          <w:p>
            <w:pPr>
              <w:spacing w:after="0" w:line="240" w:lineRule="auto"/>
            </w:pPr>
            <w:r>
              <w:rPr>
                <w:rFonts w:ascii="Arial" w:hAnsi="Arial"/>
                <w:b/>
                <w:color w:val="FFFFFF"/>
                <w:sz w:val="14"/>
              </w:rPr>
              <w:t>Sample / test record ref</w:t>
            </w:r>
          </w:p>
        </w:tc>
        <w:tc>
          <w:tcPr>
            <w:tcW w:type="dxa" w:w="2055"/>
            <w:vAlign w:val="center"/>
            <w:shd w:fill="167C80"/>
          </w:tcPr>
          <w:p>
            <w:pPr>
              <w:spacing w:after="0" w:line="240" w:lineRule="auto"/>
            </w:pPr>
            <w:r>
              <w:rPr>
                <w:rFonts w:ascii="Arial" w:hAnsi="Arial"/>
                <w:b/>
                <w:color w:val="FFFFFF"/>
                <w:sz w:val="14"/>
              </w:rPr>
              <w:t>Receipt decision / role / NCR ref</w:t>
            </w:r>
          </w:p>
        </w:tc>
      </w:tr>
      <w:tr>
        <w:trPr>
          <w:cantSplit/>
          <w:trHeight w:val="547" w:hRule="atLeast"/>
        </w:trPr>
        <w:tc>
          <w:tcPr>
            <w:tcW w:type="dxa" w:w="1603"/>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1603"/>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r>
      <w:tr>
        <w:trPr>
          <w:cantSplit/>
          <w:trHeight w:val="547" w:hRule="atLeast"/>
        </w:trPr>
        <w:tc>
          <w:tcPr>
            <w:tcW w:type="dxa" w:w="1603"/>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1603"/>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r>
      <w:tr>
        <w:trPr>
          <w:cantSplit/>
          <w:trHeight w:val="547" w:hRule="atLeast"/>
        </w:trPr>
        <w:tc>
          <w:tcPr>
            <w:tcW w:type="dxa" w:w="1603"/>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1603"/>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r>
      <w:tr>
        <w:trPr>
          <w:cantSplit/>
          <w:trHeight w:val="547" w:hRule="atLeast"/>
        </w:trPr>
        <w:tc>
          <w:tcPr>
            <w:tcW w:type="dxa" w:w="1603"/>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1603"/>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r>
      <w:tr>
        <w:trPr>
          <w:cantSplit/>
          <w:trHeight w:val="547" w:hRule="atLeast"/>
        </w:trPr>
        <w:tc>
          <w:tcPr>
            <w:tcW w:type="dxa" w:w="1603"/>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1603"/>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r>
      <w:tr>
        <w:trPr>
          <w:cantSplit/>
          <w:trHeight w:val="547" w:hRule="atLeast"/>
        </w:trPr>
        <w:tc>
          <w:tcPr>
            <w:tcW w:type="dxa" w:w="1603"/>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1603"/>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c>
          <w:tcPr>
            <w:tcW w:type="dxa" w:w="2055"/>
            <w:vAlign w:val="center"/>
          </w:tcPr>
          <w:p>
            <w:pPr>
              <w:spacing w:after="0" w:line="240" w:lineRule="auto"/>
            </w:pPr>
            <w:r>
              <w:rPr>
                <w:rFonts w:ascii="Arial" w:hAnsi="Arial"/>
                <w:color w:val="23303C"/>
                <w:sz w:val="14"/>
              </w:rPr>
              <w:t xml:space="preserve"> </w:t>
            </w:r>
          </w:p>
        </w:tc>
      </w:tr>
    </w:tbl>
    <w:p>
      <w:r>
        <w:br w:type="page"/>
      </w:r>
    </w:p>
    <w:p>
      <w:pPr>
        <w:spacing w:after="60"/>
      </w:pPr>
      <w:r>
        <w:rPr>
          <w:rFonts w:ascii="Arial" w:hAnsi="Arial"/>
          <w:b/>
          <w:sz w:val="32"/>
        </w:rPr>
        <w:t>Issues and corrective action</w:t>
      </w:r>
    </w:p>
    <w:p>
      <w:pPr>
        <w:spacing w:after="100"/>
      </w:pPr>
      <w:r>
        <w:rPr>
          <w:rFonts w:ascii="Arial" w:hAnsi="Arial"/>
          <w:b w:val="0"/>
          <w:sz w:val="16"/>
        </w:rPr>
        <w:t>Project: _____________________  Location / room / element: _____________________  Inspection date: _____________________</w:t>
      </w:r>
    </w:p>
    <w:tbl>
      <w:tblPr>
        <w:tblStyle w:val="TableGrid"/>
        <w:tblW w:type="auto" w:w="0"/>
        <w:tblLook w:firstColumn="1" w:firstRow="1" w:lastColumn="0" w:lastRow="0" w:noHBand="0" w:noVBand="1" w:val="04A0"/>
      </w:tblPr>
      <w:tblGrid>
        <w:gridCol w:w="3108"/>
        <w:gridCol w:w="3108"/>
        <w:gridCol w:w="3108"/>
        <w:gridCol w:w="3108"/>
        <w:gridCol w:w="3108"/>
      </w:tblGrid>
      <w:tr>
        <w:tc>
          <w:tcPr>
            <w:tcW w:type="dxa" w:w="3108"/>
            <w:vAlign w:val="center"/>
            <w:shd w:fill="167C80"/>
          </w:tcPr>
          <w:p>
            <w:pPr>
              <w:spacing w:after="20"/>
            </w:pPr>
            <w:r>
              <w:rPr>
                <w:rFonts w:ascii="Arial" w:hAnsi="Arial"/>
                <w:b/>
                <w:color w:val="FFFFFF"/>
                <w:sz w:val="16"/>
              </w:rPr>
              <w:t>Item / date</w:t>
            </w:r>
          </w:p>
        </w:tc>
        <w:tc>
          <w:tcPr>
            <w:tcW w:type="dxa" w:w="3108"/>
            <w:vAlign w:val="center"/>
            <w:shd w:fill="167C80"/>
          </w:tcPr>
          <w:p>
            <w:pPr>
              <w:spacing w:after="20"/>
            </w:pPr>
            <w:r>
              <w:rPr>
                <w:rFonts w:ascii="Arial" w:hAnsi="Arial"/>
                <w:b/>
                <w:color w:val="FFFFFF"/>
                <w:sz w:val="16"/>
              </w:rPr>
              <w:t>Issue and immediate action</w:t>
            </w:r>
          </w:p>
        </w:tc>
        <w:tc>
          <w:tcPr>
            <w:tcW w:type="dxa" w:w="3108"/>
            <w:vAlign w:val="center"/>
            <w:shd w:fill="167C80"/>
          </w:tcPr>
          <w:p>
            <w:pPr>
              <w:spacing w:after="20"/>
            </w:pPr>
            <w:r>
              <w:rPr>
                <w:rFonts w:ascii="Arial" w:hAnsi="Arial"/>
                <w:b/>
                <w:color w:val="FFFFFF"/>
                <w:sz w:val="16"/>
              </w:rPr>
              <w:t>Disposition / corrective instruction</w:t>
            </w:r>
          </w:p>
        </w:tc>
        <w:tc>
          <w:tcPr>
            <w:tcW w:type="dxa" w:w="3108"/>
            <w:vAlign w:val="center"/>
            <w:shd w:fill="167C80"/>
          </w:tcPr>
          <w:p>
            <w:pPr>
              <w:spacing w:after="20"/>
            </w:pPr>
            <w:r>
              <w:rPr>
                <w:rFonts w:ascii="Arial" w:hAnsi="Arial"/>
                <w:b/>
                <w:color w:val="FFFFFF"/>
                <w:sz w:val="16"/>
              </w:rPr>
              <w:t>Recheck evidence / date</w:t>
            </w:r>
          </w:p>
        </w:tc>
        <w:tc>
          <w:tcPr>
            <w:tcW w:type="dxa" w:w="3108"/>
            <w:vAlign w:val="center"/>
            <w:shd w:fill="167C80"/>
          </w:tcPr>
          <w:p>
            <w:pPr>
              <w:spacing w:after="20"/>
            </w:pPr>
            <w:r>
              <w:rPr>
                <w:rFonts w:ascii="Arial" w:hAnsi="Arial"/>
                <w:b/>
                <w:color w:val="FFFFFF"/>
                <w:sz w:val="16"/>
              </w:rPr>
              <w:t>Responsible role / reference</w:t>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bl>
    <w:p>
      <w:pPr>
        <w:spacing w:after="80"/>
      </w:pPr>
      <w:r>
        <w:rPr>
          <w:rFonts w:ascii="Arial" w:hAnsi="Arial"/>
          <w:b/>
          <w:sz w:val="16"/>
        </w:rPr>
        <w:t>Unresolved items: identify affected area, status, person notified, instruction / NCR reference and any condition before concealment or next work.</w:t>
      </w:r>
    </w:p>
    <w:p>
      <w:r>
        <w:br w:type="page"/>
      </w:r>
    </w:p>
    <w:p>
      <w:pPr>
        <w:spacing w:after="60"/>
      </w:pPr>
      <w:r>
        <w:rPr>
          <w:rFonts w:ascii="Arial" w:hAnsi="Arial"/>
          <w:b/>
          <w:sz w:val="32"/>
        </w:rPr>
        <w:t>Concrete delivery receipt handover</w:t>
      </w:r>
    </w:p>
    <w:p>
      <w:pPr>
        <w:spacing w:after="80"/>
      </w:pPr>
      <w:r>
        <w:rPr>
          <w:rFonts w:ascii="Arial" w:hAnsi="Arial"/>
          <w:b w:val="0"/>
          <w:sz w:val="18"/>
        </w:rPr>
        <w:t>Project: _____________________  Location / room / element: _____________________  Date: _____________________</w:t>
      </w:r>
    </w:p>
    <w:p>
      <w:pPr>
        <w:spacing w:after="40"/>
      </w:pPr>
      <w:r>
        <w:rPr>
          <w:rFonts w:ascii="Arial" w:hAnsi="Arial"/>
          <w:b/>
          <w:sz w:val="20"/>
        </w:rPr>
        <w:t>Record handover status</w:t>
      </w:r>
    </w:p>
    <w:p>
      <w:pPr>
        <w:spacing w:after="80"/>
      </w:pPr>
      <w:r>
        <w:rPr>
          <w:rFonts w:ascii="Arial" w:hAnsi="Arial"/>
          <w:b w:val="0"/>
          <w:sz w:val="18"/>
        </w:rPr>
        <w:t>[  ] Record completed; evidence filed</w:t>
      </w:r>
    </w:p>
    <w:p>
      <w:pPr>
        <w:spacing w:after="80"/>
      </w:pPr>
      <w:r>
        <w:rPr>
          <w:rFonts w:ascii="Arial" w:hAnsi="Arial"/>
          <w:b w:val="0"/>
          <w:sz w:val="18"/>
        </w:rPr>
        <w:t>[  ] Action or recheck remains open</w:t>
      </w:r>
    </w:p>
    <w:p>
      <w:pPr>
        <w:spacing w:after="80"/>
      </w:pPr>
      <w:r>
        <w:rPr>
          <w:rFonts w:ascii="Arial" w:hAnsi="Arial"/>
          <w:b w:val="0"/>
          <w:sz w:val="18"/>
        </w:rPr>
        <w:t>[  ] Project / technical disposition required</w:t>
      </w:r>
    </w:p>
    <w:p>
      <w:pPr>
        <w:spacing w:after="100"/>
      </w:pPr>
      <w:r>
        <w:rPr>
          <w:rFonts w:ascii="Arial" w:hAnsi="Arial"/>
          <w:b w:val="0"/>
          <w:sz w:val="18"/>
        </w:rPr>
        <w:t>Applies to docket traceability and delivery handover only. It does not approve a mix, prove test conformity, certify concrete, release a project point or authorize placement. Carry open loads into the concrete ITP/NCR.</w:t>
      </w:r>
    </w:p>
    <w:p>
      <w:pPr>
        <w:spacing w:after="20"/>
      </w:pPr>
      <w:r>
        <w:rPr>
          <w:rFonts w:ascii="Arial" w:hAnsi="Arial"/>
          <w:b/>
          <w:sz w:val="20"/>
        </w:rPr>
        <w:t>Handover roles and references</w:t>
      </w:r>
    </w:p>
    <w:p>
      <w:pPr>
        <w:spacing w:after="100"/>
      </w:pPr>
      <w:r>
        <w:rPr>
          <w:rFonts w:ascii="Arial" w:hAnsi="Arial"/>
          <w:b w:val="0"/>
          <w:sz w:val="18"/>
        </w:rPr>
        <w:t>Delivery recorder name / role / date  ______________________________________________</w:t>
      </w:r>
    </w:p>
    <w:p>
      <w:pPr>
        <w:spacing w:after="100"/>
      </w:pPr>
      <w:r>
        <w:rPr>
          <w:rFonts w:ascii="Arial" w:hAnsi="Arial"/>
          <w:b w:val="0"/>
          <w:sz w:val="18"/>
        </w:rPr>
        <w:t>Assigned receiving decision role / date  ______________________________________________</w:t>
      </w:r>
    </w:p>
    <w:p>
      <w:pPr>
        <w:spacing w:after="100"/>
      </w:pPr>
      <w:r>
        <w:rPr>
          <w:rFonts w:ascii="Arial" w:hAnsi="Arial"/>
          <w:b w:val="0"/>
          <w:sz w:val="18"/>
        </w:rPr>
        <w:t>Supplier contact / role, if clarification needed  ______________________________________________</w:t>
      </w:r>
    </w:p>
    <w:p>
      <w:pPr>
        <w:spacing w:after="100"/>
      </w:pPr>
      <w:r>
        <w:rPr>
          <w:rFonts w:ascii="Arial" w:hAnsi="Arial"/>
          <w:b w:val="0"/>
          <w:sz w:val="18"/>
        </w:rPr>
        <w:t>Open NCR / instruction reference  ______________________________________________</w:t>
      </w:r>
    </w:p>
    <w:p>
      <w:pPr>
        <w:spacing w:after="0"/>
      </w:pPr>
      <w:r>
        <w:rPr>
          <w:rFonts w:ascii="Arial" w:hAnsi="Arial"/>
          <w:b w:val="0"/>
          <w:sz w:val="18"/>
        </w:rPr>
        <w:t>Signatures record the named person’s stated role and entry only. They do not by themselves approve design, certify compliance, release a contractual control point or authorize the next activity.</w:t>
      </w:r>
    </w:p>
    <w:p>
      <w:r>
        <w:br w:type="page"/>
      </w:r>
    </w:p>
    <w:p>
      <w:pPr>
        <w:spacing w:after="80"/>
      </w:pPr>
      <w:r>
        <w:rPr>
          <w:rFonts w:ascii="Arial" w:hAnsi="Arial"/>
          <w:b/>
          <w:sz w:val="34"/>
        </w:rPr>
        <w:t>Source notes</w:t>
      </w:r>
    </w:p>
    <w:p>
      <w:pPr>
        <w:spacing w:after="160"/>
      </w:pPr>
      <w:r>
        <w:rPr>
          <w:rFonts w:ascii="Arial" w:hAnsi="Arial"/>
          <w:b w:val="0"/>
          <w:sz w:val="18"/>
        </w:rPr>
        <w:t>These references explain topic and record design. They do not supply universal project acceptance values. Confirm the contract documents, applicable jurisdiction and approved product/system before use.</w:t>
      </w:r>
    </w:p>
    <w:p>
      <w:pPr>
        <w:spacing w:after="20"/>
      </w:pPr>
      <w:r>
        <w:rPr>
          <w:rFonts w:ascii="Arial" w:hAnsi="Arial"/>
          <w:b/>
          <w:sz w:val="20"/>
        </w:rPr>
        <w:t>Cavoren cast-in-place concrete baseline</w:t>
      </w:r>
    </w:p>
    <w:p>
      <w:pPr>
        <w:spacing w:after="20"/>
      </w:pPr>
      <w:r>
        <w:rPr>
          <w:rFonts w:ascii="Arial" w:hAnsi="Arial"/>
          <w:b w:val="0"/>
          <w:sz w:val="18"/>
        </w:rPr>
        <w:t>Role: Scope context only; not independent technical authority or project acceptance criteria.</w:t>
      </w:r>
    </w:p>
    <w:p>
      <w:pPr>
        <w:spacing w:after="20"/>
      </w:pPr>
      <w:r>
        <w:rPr>
          <w:rFonts w:ascii="Arial" w:hAnsi="Arial"/>
          <w:b w:val="0"/>
          <w:sz w:val="18"/>
        </w:rPr>
        <w:t>Locator: Original proposed receipt topics CON-01, CON-09 and interfaces CON-10–11.</w:t>
      </w:r>
    </w:p>
    <w:p>
      <w:pPr>
        <w:spacing w:after="100"/>
      </w:pPr>
      <w:r>
        <w:rPr>
          <w:rFonts w:ascii="Arial" w:hAnsi="Arial"/>
          <w:b w:val="0"/>
          <w:sz w:val="18"/>
        </w:rPr>
        <w:t>Source URL: https://itp.cavoren.net/templates/concrete/</w:t>
      </w:r>
    </w:p>
    <w:p>
      <w:pPr>
        <w:spacing w:after="20"/>
      </w:pPr>
      <w:r>
        <w:rPr>
          <w:rFonts w:ascii="Arial" w:hAnsi="Arial"/>
          <w:b/>
          <w:sz w:val="20"/>
        </w:rPr>
        <w:t>Queensland Department of Transport and Main Roads, MRTS70 Concrete (July 2022)</w:t>
      </w:r>
    </w:p>
    <w:p>
      <w:pPr>
        <w:spacing w:after="20"/>
      </w:pPr>
      <w:r>
        <w:rPr>
          <w:rFonts w:ascii="Arial" w:hAnsi="Arial"/>
          <w:b w:val="0"/>
          <w:sz w:val="18"/>
        </w:rPr>
        <w:t>Role: Topic guidance only. MRTS70 is for Queensland road/bridge infrastructure contracts (or other specified elements). Its values, timing limits, test frequencies, qualifications, H/W points, project roles and release rules are not generalized into these records.</w:t>
      </w:r>
    </w:p>
    <w:p>
      <w:pPr>
        <w:spacing w:after="20"/>
      </w:pPr>
      <w:r>
        <w:rPr>
          <w:rFonts w:ascii="Arial" w:hAnsi="Arial"/>
          <w:b w:val="0"/>
          <w:sz w:val="18"/>
        </w:rPr>
        <w:t>Locator: July 2022, Clause 1/Table 1 (infrastructure scope); 10.5 (transport and delivery docket); 11 (plastic concrete checks/departure topics). Clause references are printed specification locators, not PDF viewer page numbers.</w:t>
      </w:r>
    </w:p>
    <w:p>
      <w:pPr>
        <w:spacing w:after="100"/>
      </w:pPr>
      <w:r>
        <w:rPr>
          <w:rFonts w:ascii="Arial" w:hAnsi="Arial"/>
          <w:b w:val="0"/>
          <w:sz w:val="18"/>
        </w:rPr>
        <w:t>Source URL: https://www.tmr.qld.gov.au/-/media/busind/techstdpubs/Specifications-and-drawings/Specifications/2-Bridges-and-Structures/MRTS70.pdf</w:t>
      </w:r>
    </w:p>
    <w:p>
      <w:pPr>
        <w:spacing w:after="20"/>
      </w:pPr>
      <w:r>
        <w:rPr>
          <w:rFonts w:ascii="Arial" w:hAnsi="Arial"/>
          <w:b/>
          <w:sz w:val="20"/>
        </w:rPr>
        <w:t>Hutchies 040 Concrete Place Report (public Word report template)</w:t>
      </w:r>
    </w:p>
    <w:p>
      <w:pPr>
        <w:spacing w:after="20"/>
      </w:pPr>
      <w:r>
        <w:rPr>
          <w:rFonts w:ascii="Arial" w:hAnsi="Arial"/>
          <w:b w:val="0"/>
          <w:sz w:val="18"/>
        </w:rPr>
        <w:t>Role: Contractor-specific example of report layout and handover, not universal criteria. No Hutchies text is reproduced.</w:t>
      </w:r>
    </w:p>
    <w:p>
      <w:pPr>
        <w:spacing w:after="20"/>
      </w:pPr>
      <w:r>
        <w:rPr>
          <w:rFonts w:ascii="Arial" w:hAnsi="Arial"/>
          <w:b w:val="0"/>
          <w:sz w:val="18"/>
        </w:rPr>
        <w:t>Locator: Public 040 Concrete Place Report: header and closeout fields, rows 6–13 on discharge, placement, protection, curing and final records review. Contractor example only; no technical acceptance conditions are adopted.</w:t>
      </w:r>
    </w:p>
    <w:p>
      <w:pPr>
        <w:spacing w:after="100"/>
      </w:pPr>
      <w:r>
        <w:rPr>
          <w:rFonts w:ascii="Arial" w:hAnsi="Arial"/>
          <w:b w:val="0"/>
          <w:sz w:val="18"/>
        </w:rPr>
        <w:t>Source URL: https://toolbox.hutchies.com.au/uploads/040-Concrete-Place-Report.docx</w:t>
      </w:r>
    </w:p>
    <w:sectPr w:rsidR="00FC693F" w:rsidRPr="0006063C" w:rsidSect="00034616">
      <w:headerReference w:type="default" r:id="rId9"/>
      <w:footerReference w:type="default" r:id="rId10"/>
      <w:pgSz w:w="16834" w:h="11909" w:orient="landscape"/>
      <w:pgMar w:top="792" w:right="648" w:bottom="691"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167C80"/>
        <w:sz w:val="14"/>
      </w:rPr>
      <w:t xml:space="preserve">https://itp.cavoren.net/checklists/concrete-delivery/  |  Project: __________________________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167C80"/>
        <w:sz w:val="16"/>
      </w:rPr>
      <w:t>CAVOREN  |  FIELD RECORD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3303C"/>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