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Compaction Test and Lot Traceability Record</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identification of earthworks compaction test lots, layers and test points; exact report transcription; project-criterion reference; and failure, retest and disposition linkage.</w:t>
      </w:r>
    </w:p>
    <w:p>
      <w:pPr>
        <w:spacing w:after="60"/>
      </w:pPr>
      <w:r>
        <w:rPr>
          <w:rFonts w:ascii="Arial" w:hAnsi="Arial"/>
          <w:b w:val="0"/>
          <w:sz w:val="18"/>
        </w:rPr>
        <w:t>Excluded: selecting test methods or rates, setting compaction targets, performing/certifying laboratory work, recalculating results without the adopted method, and automatic acceptance of a lot.</w:t>
      </w:r>
    </w:p>
    <w:p>
      <w:pPr>
        <w:spacing w:after="20"/>
      </w:pPr>
      <w:r>
        <w:rPr>
          <w:rFonts w:ascii="Arial" w:hAnsi="Arial"/>
          <w:b/>
          <w:sz w:val="22"/>
        </w:rPr>
        <w:t>Use and project setup</w:t>
      </w:r>
    </w:p>
    <w:p>
      <w:pPr>
        <w:spacing w:after="40"/>
      </w:pPr>
      <w:r>
        <w:rPr>
          <w:rFonts w:ascii="Arial" w:hAnsi="Arial"/>
          <w:b w:val="0"/>
          <w:sz w:val="18"/>
        </w:rPr>
        <w:t>Project field: Project / contract / jurisdiction  ______________________________________________</w:t>
      </w:r>
    </w:p>
    <w:p>
      <w:pPr>
        <w:spacing w:after="40"/>
      </w:pPr>
      <w:r>
        <w:rPr>
          <w:rFonts w:ascii="Arial" w:hAnsi="Arial"/>
          <w:b w:val="0"/>
          <w:sz w:val="18"/>
        </w:rPr>
        <w:t>Project field: Earthworks area / chainage / grid  ______________________________________________</w:t>
      </w:r>
    </w:p>
    <w:p>
      <w:pPr>
        <w:spacing w:after="40"/>
      </w:pPr>
      <w:r>
        <w:rPr>
          <w:rFonts w:ascii="Arial" w:hAnsi="Arial"/>
          <w:b w:val="0"/>
          <w:sz w:val="18"/>
        </w:rPr>
        <w:t>Project field: Lot ID / lot definition source  ______________________________________________</w:t>
      </w:r>
    </w:p>
    <w:p>
      <w:pPr>
        <w:spacing w:after="40"/>
      </w:pPr>
      <w:r>
        <w:rPr>
          <w:rFonts w:ascii="Arial" w:hAnsi="Arial"/>
          <w:b w:val="0"/>
          <w:sz w:val="18"/>
        </w:rPr>
        <w:t>Project field: Layer number / placement date  ______________________________________________</w:t>
      </w:r>
    </w:p>
    <w:p>
      <w:pPr>
        <w:spacing w:after="40"/>
      </w:pPr>
      <w:r>
        <w:rPr>
          <w:rFonts w:ascii="Arial" w:hAnsi="Arial"/>
          <w:b w:val="0"/>
          <w:sz w:val="18"/>
        </w:rPr>
        <w:t>Project field: Material description / source / class ref  ______________________________________________</w:t>
      </w:r>
    </w:p>
    <w:p>
      <w:pPr>
        <w:spacing w:after="40"/>
      </w:pPr>
      <w:r>
        <w:rPr>
          <w:rFonts w:ascii="Arial" w:hAnsi="Arial"/>
          <w:b w:val="0"/>
          <w:sz w:val="18"/>
        </w:rPr>
        <w:t>Project field: Test point / offset / depth  ______________________________________________</w:t>
      </w:r>
    </w:p>
    <w:p>
      <w:pPr>
        <w:spacing w:after="40"/>
      </w:pPr>
      <w:r>
        <w:rPr>
          <w:rFonts w:ascii="Arial" w:hAnsi="Arial"/>
          <w:b w:val="0"/>
          <w:sz w:val="18"/>
        </w:rPr>
        <w:t>Project field: Test method / edition / lab or tester  ______________________________________________</w:t>
      </w:r>
    </w:p>
    <w:p>
      <w:pPr>
        <w:spacing w:after="40"/>
      </w:pPr>
      <w:r>
        <w:rPr>
          <w:rFonts w:ascii="Arial" w:hAnsi="Arial"/>
          <w:b w:val="0"/>
          <w:sz w:val="18"/>
        </w:rPr>
        <w:t>Project field: Reference density report / revision  ______________________________________________</w:t>
      </w:r>
    </w:p>
    <w:p>
      <w:pPr>
        <w:spacing w:after="40"/>
      </w:pPr>
      <w:r>
        <w:rPr>
          <w:rFonts w:ascii="Arial" w:hAnsi="Arial"/>
          <w:b w:val="0"/>
          <w:sz w:val="18"/>
        </w:rPr>
        <w:t>Project field: Project criterion / decision role  ______________________________________________</w:t>
      </w:r>
    </w:p>
    <w:p>
      <w:pPr>
        <w:spacing w:after="40"/>
      </w:pPr>
      <w:r>
        <w:rPr>
          <w:rFonts w:ascii="Arial" w:hAnsi="Arial"/>
          <w:b w:val="0"/>
          <w:sz w:val="18"/>
        </w:rPr>
        <w:t>Project field: NCR / retest / disposition refs  ______________________________________________</w:t>
      </w:r>
    </w:p>
    <w:p>
      <w:pPr>
        <w:spacing w:after="40"/>
      </w:pPr>
      <w:r>
        <w:rPr>
          <w:rFonts w:ascii="Arial" w:hAnsi="Arial"/>
          <w:b w:val="0"/>
          <w:sz w:val="18"/>
        </w:rPr>
        <w:t>Before inspection: Approved earthworks specification, drawings and lot definition — Defines material zones, layer identity, lot boundaries and applicable project acceptance criteria.</w:t>
      </w:r>
    </w:p>
    <w:p>
      <w:pPr>
        <w:spacing w:after="40"/>
      </w:pPr>
      <w:r>
        <w:rPr>
          <w:rFonts w:ascii="Arial" w:hAnsi="Arial"/>
          <w:b w:val="0"/>
          <w:sz w:val="18"/>
        </w:rPr>
        <w:t>Before inspection: Project sampling/testing plan and adopted test method — Supplies actual method edition, frequency, location selection and report requirements.</w:t>
      </w:r>
    </w:p>
    <w:p>
      <w:pPr>
        <w:spacing w:after="40"/>
      </w:pPr>
      <w:r>
        <w:rPr>
          <w:rFonts w:ascii="Arial" w:hAnsi="Arial"/>
          <w:b w:val="0"/>
          <w:sz w:val="18"/>
        </w:rPr>
        <w:t>Before inspection: Material source approval and reference laboratory data — Links the field result to the material/source and reference value used under the adopted method.</w:t>
      </w:r>
    </w:p>
    <w:p>
      <w:pPr>
        <w:spacing w:after="40"/>
      </w:pPr>
      <w:r>
        <w:rPr>
          <w:rFonts w:ascii="Arial" w:hAnsi="Arial"/>
          <w:b w:val="0"/>
          <w:sz w:val="18"/>
        </w:rPr>
        <w:t>Before inspection: Issued field density reports and attachments — Provides actual result, units, test location, method and report revision for faithful transcription.</w:t>
      </w:r>
    </w:p>
    <w:p>
      <w:pPr>
        <w:spacing w:after="40"/>
      </w:pPr>
      <w:r>
        <w:rPr>
          <w:rFonts w:ascii="Arial" w:hAnsi="Arial"/>
          <w:b w:val="0"/>
          <w:sz w:val="18"/>
        </w:rPr>
        <w:t>Before inspection: Failed-test and nonconformance procedure — Names the affected work, required investigation/retest and decision authority.</w:t>
      </w:r>
    </w:p>
    <w:p>
      <w:pPr>
        <w:spacing w:after="20"/>
      </w:pPr>
      <w:r>
        <w:rPr>
          <w:rFonts w:ascii="Arial" w:hAnsi="Arial"/>
          <w:b/>
          <w:sz w:val="22"/>
        </w:rPr>
        <w:t>How to use</w:t>
      </w:r>
    </w:p>
    <w:p>
      <w:pPr>
        <w:spacing w:after="40"/>
      </w:pPr>
      <w:r>
        <w:rPr>
          <w:rFonts w:ascii="Arial" w:hAnsi="Arial"/>
          <w:b w:val="0"/>
          <w:sz w:val="18"/>
        </w:rPr>
        <w:t>1. Identify the project-defined lot and layer before assigning each test result.</w:t>
      </w:r>
    </w:p>
    <w:p>
      <w:pPr>
        <w:spacing w:after="40"/>
      </w:pPr>
      <w:r>
        <w:rPr>
          <w:rFonts w:ascii="Arial" w:hAnsi="Arial"/>
          <w:b w:val="0"/>
          <w:sz w:val="18"/>
        </w:rPr>
        <w:t>2. Record the physical test location and represented extent; preserve coordinates, offsets, depth and datum as reported.</w:t>
      </w:r>
    </w:p>
    <w:p>
      <w:pPr>
        <w:spacing w:after="40"/>
      </w:pPr>
      <w:r>
        <w:rPr>
          <w:rFonts w:ascii="Arial" w:hAnsi="Arial"/>
          <w:b w:val="0"/>
          <w:sz w:val="18"/>
        </w:rPr>
        <w:t>3. Copy each actual result, unit, method, report ID and revision exactly from the issued report.</w:t>
      </w:r>
    </w:p>
    <w:p>
      <w:pPr>
        <w:spacing w:after="40"/>
      </w:pPr>
      <w:r>
        <w:rPr>
          <w:rFonts w:ascii="Arial" w:hAnsi="Arial"/>
          <w:b w:val="0"/>
          <w:sz w:val="18"/>
        </w:rPr>
        <w:t>4. Record the project criterion and comparison separately; leave decision Pending until the assigned reviewer records a supported outcome.</w:t>
      </w:r>
    </w:p>
    <w:p>
      <w:pPr>
        <w:spacing w:after="40"/>
      </w:pPr>
      <w:r>
        <w:rPr>
          <w:rFonts w:ascii="Arial" w:hAnsi="Arial"/>
          <w:b w:val="0"/>
          <w:sz w:val="18"/>
        </w:rPr>
        <w:t>5. For failures, preserve the original result and add linked corrective action, retest and disposition entries; do not replace the first result.</w:t>
      </w:r>
    </w:p>
    <w:p>
      <w:pPr>
        <w:spacing w:after="0"/>
      </w:pPr>
      <w:r>
        <w:rPr>
          <w:rFonts w:ascii="Arial" w:hAnsi="Arial"/>
          <w:b w:val="0"/>
          <w:sz w:val="16"/>
        </w:rPr>
        <w:t>Important: Blank field record. Enter actual measurements only from the issued field/laboratory report and retain its units and revision. No default pass status is supplied. A report result is evidence for the assigned project reviewer; it is not itself a lot certification or automatic acceptance.</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CTR-01  Lot and represented work definition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Project lot ID and boundaries, material zone, placement date and governing lot definition.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Map each report to a unique project-defined lot and retain its limits; do not infer lot size or merge separate zones.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represented work and lot boundaries are traceable to the approved project definition and match the report assignment.</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earthworks specification, lot plan, ITP and approved lot definition.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Lot ID / boundary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Lot definition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Project test plan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CTR-02  Layer, placement and material/source identity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Layer number, placement date, location, material description/class and source or stockpile reference.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Match field test sheet to placement diary, delivery/source records and layer plan; distinguish source approval from in-place test evidence.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Each result identifies the layer and material/source represented under project records; no source class or thickness is assumed here.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materials register, source approval, placement diary and project layer plan.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Layer / placement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Material source / class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Placement diary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CTR-03  Test point and method traceability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Test point coordinates/grid/offset, layer depth if reported, test date/time, test method and edition, performer and equipment/report IDs.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field sheet and report to the exact test point; transcribe method/edition and reported location without changing units or assigning a nearby location by assumption.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actual test is traceable to a point, date, method and report, and any project-required performer/equipment evidence is linked.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Adopted project testing plan, method reference, original field sheet and issued report.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Test point / depth</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Method / edition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Field sheet / report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CTR-04  Issued result transcription and criterion reference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Actual reported value(s), units, method fields, report revision and separate project criterion source/clause.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Copy values verbatim from the issued report; record criterion and source separately and preserve amended reports alongside original.</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Transcription matches the report. The project criterion is explicit and applicable to that lot/material/method; no universal percentage, test rate or limit is provided.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Original report and revision, project specification and adopted test method/criterion.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Report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result /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Project criterion / clause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CTR-05  Failure, retest and disposition register</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Original failing/anomalous result, affected area, NCR/action, corrective work, separate retest evidence and written decision.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Retain chronological linked entries; record new retest as a new event and cross-reference the initial result rather than overwriting it.</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Each issue has an identifiable affected extent and evidence trail; only the project-assigned role records disposition/closure.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NCR and retest procedure, original/retest reports and written disposition.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Original test ID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NCR / corrective action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Retest report / disposition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CTR-06  Lot review status and evidence handover</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Reviewer role, project comparison, outstanding tests/documents, linked reports and record transfer reference.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Reconcile the test register against all required project results for the lot and submit to the named reviewer; do not self-populate Pass.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Status reflects explicit evidence and assigned review. Blank or missing results are Pending; recording a report does not certify or accept the lot.</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ITP, project lot acceptance process and assigned review/record handover requirements.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Reviewer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Review outcome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Open item / handover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0"/>
        </w:rPr>
        <w:t>Density test lot, layer and failure/retest register</w:t>
      </w:r>
    </w:p>
    <w:p>
      <w:pPr>
        <w:spacing w:after="80"/>
      </w:pPr>
      <w:r>
        <w:rPr>
          <w:rFonts w:ascii="Arial" w:hAnsi="Arial"/>
          <w:b w:val="0"/>
          <w:sz w:val="17"/>
        </w:rPr>
        <w:t>One row per actual test event. Keep original failure rows unchanged and link separate corrective work, retest report and disposition. Transcribe values and units only from issued reports. Status stays Pending until reviewed against the project criterion by the assigned role.</w:t>
      </w:r>
    </w:p>
    <w:p>
      <w:pPr>
        <w:spacing w:after="40"/>
      </w:pPr>
      <w:r>
        <w:rPr>
          <w:rFonts w:ascii="Arial" w:hAnsi="Arial"/>
          <w:b w:val="0"/>
          <w:sz w:val="16"/>
        </w:rPr>
        <w:t>Project / contract: ______________________________    Element / pour / lot: ______________________________    Date / shift: ____________________</w:t>
      </w:r>
    </w:p>
    <w:p>
      <w:pPr>
        <w:spacing w:after="80"/>
      </w:pPr>
      <w:r>
        <w:rPr>
          <w:rFonts w:ascii="Arial" w:hAnsi="Arial"/>
          <w:b w:val="0"/>
          <w:sz w:val="16"/>
        </w:rPr>
        <w:t>Location / area: ______________________________    Record reference / revision: ______________________________</w:t>
      </w:r>
    </w:p>
    <w:tbl>
      <w:tblPr>
        <w:tblStyle w:val="TableGrid"/>
        <w:tblW w:type="auto" w:w="0"/>
        <w:tblLayout w:type="fixed"/>
        <w:tblLook w:firstColumn="1" w:firstRow="1" w:lastColumn="0" w:lastRow="0" w:noHBand="0" w:noVBand="1" w:val="04A0"/>
      </w:tblPr>
      <w:tblGrid>
        <w:gridCol w:w="1554"/>
        <w:gridCol w:w="1554"/>
        <w:gridCol w:w="1554"/>
        <w:gridCol w:w="1554"/>
        <w:gridCol w:w="1554"/>
        <w:gridCol w:w="1554"/>
        <w:gridCol w:w="1554"/>
        <w:gridCol w:w="1554"/>
        <w:gridCol w:w="1554"/>
        <w:gridCol w:w="1554"/>
      </w:tblGrid>
      <w:tr>
        <w:trPr>
          <w:trHeight w:val="691" w:hRule="atLeast"/>
          <w:tblHeader w:val="true"/>
          <w:cantSplit/>
        </w:trPr>
        <w:tc>
          <w:tcPr>
            <w:tcW w:type="dxa" w:w="1270"/>
            <w:vAlign w:val="center"/>
            <w:shd w:fill="167C80"/>
          </w:tcPr>
          <w:p>
            <w:pPr>
              <w:spacing w:after="0" w:line="240" w:lineRule="auto"/>
            </w:pPr>
            <w:r>
              <w:rPr>
                <w:rFonts w:ascii="Arial" w:hAnsi="Arial"/>
                <w:b/>
                <w:color w:val="FFFFFF"/>
                <w:sz w:val="14"/>
              </w:rPr>
              <w:t>Test date / time</w:t>
            </w:r>
          </w:p>
        </w:tc>
        <w:tc>
          <w:tcPr>
            <w:tcW w:type="dxa" w:w="1629"/>
            <w:vAlign w:val="center"/>
            <w:shd w:fill="167C80"/>
          </w:tcPr>
          <w:p>
            <w:pPr>
              <w:spacing w:after="0" w:line="240" w:lineRule="auto"/>
            </w:pPr>
            <w:r>
              <w:rPr>
                <w:rFonts w:ascii="Arial" w:hAnsi="Arial"/>
                <w:b/>
                <w:color w:val="FFFFFF"/>
                <w:sz w:val="14"/>
              </w:rPr>
              <w:t>Lot / boundary</w:t>
            </w:r>
          </w:p>
        </w:tc>
        <w:tc>
          <w:tcPr>
            <w:tcW w:type="dxa" w:w="1270"/>
            <w:vAlign w:val="center"/>
            <w:shd w:fill="167C80"/>
          </w:tcPr>
          <w:p>
            <w:pPr>
              <w:spacing w:after="0" w:line="240" w:lineRule="auto"/>
            </w:pPr>
            <w:r>
              <w:rPr>
                <w:rFonts w:ascii="Arial" w:hAnsi="Arial"/>
                <w:b/>
                <w:color w:val="FFFFFF"/>
                <w:sz w:val="14"/>
              </w:rPr>
              <w:t>Layer / placement date</w:t>
            </w:r>
          </w:p>
        </w:tc>
        <w:tc>
          <w:tcPr>
            <w:tcW w:type="dxa" w:w="1629"/>
            <w:vAlign w:val="center"/>
            <w:shd w:fill="167C80"/>
          </w:tcPr>
          <w:p>
            <w:pPr>
              <w:spacing w:after="0" w:line="240" w:lineRule="auto"/>
            </w:pPr>
            <w:r>
              <w:rPr>
                <w:rFonts w:ascii="Arial" w:hAnsi="Arial"/>
                <w:b/>
                <w:color w:val="FFFFFF"/>
                <w:sz w:val="14"/>
              </w:rPr>
              <w:t>Material / source</w:t>
            </w:r>
          </w:p>
        </w:tc>
        <w:tc>
          <w:tcPr>
            <w:tcW w:type="dxa" w:w="1629"/>
            <w:vAlign w:val="center"/>
            <w:shd w:fill="167C80"/>
          </w:tcPr>
          <w:p>
            <w:pPr>
              <w:spacing w:after="0" w:line="240" w:lineRule="auto"/>
            </w:pPr>
            <w:r>
              <w:rPr>
                <w:rFonts w:ascii="Arial" w:hAnsi="Arial"/>
                <w:b/>
                <w:color w:val="FFFFFF"/>
                <w:sz w:val="14"/>
              </w:rPr>
              <w:t>Test point / depth</w:t>
            </w:r>
          </w:p>
        </w:tc>
        <w:tc>
          <w:tcPr>
            <w:tcW w:type="dxa" w:w="1629"/>
            <w:vAlign w:val="center"/>
            <w:shd w:fill="167C80"/>
          </w:tcPr>
          <w:p>
            <w:pPr>
              <w:spacing w:after="0" w:line="240" w:lineRule="auto"/>
            </w:pPr>
            <w:r>
              <w:rPr>
                <w:rFonts w:ascii="Arial" w:hAnsi="Arial"/>
                <w:b/>
                <w:color w:val="FFFFFF"/>
                <w:sz w:val="14"/>
              </w:rPr>
              <w:t>Method / edition</w:t>
            </w:r>
          </w:p>
        </w:tc>
        <w:tc>
          <w:tcPr>
            <w:tcW w:type="dxa" w:w="1270"/>
            <w:vAlign w:val="center"/>
            <w:shd w:fill="167C80"/>
          </w:tcPr>
          <w:p>
            <w:pPr>
              <w:spacing w:after="0" w:line="240" w:lineRule="auto"/>
            </w:pPr>
            <w:r>
              <w:rPr>
                <w:rFonts w:ascii="Arial" w:hAnsi="Arial"/>
                <w:b/>
                <w:color w:val="FFFFFF"/>
                <w:sz w:val="14"/>
              </w:rPr>
              <w:t>Actual result / unit</w:t>
            </w:r>
          </w:p>
        </w:tc>
        <w:tc>
          <w:tcPr>
            <w:tcW w:type="dxa" w:w="1629"/>
            <w:vAlign w:val="center"/>
            <w:shd w:fill="167C80"/>
          </w:tcPr>
          <w:p>
            <w:pPr>
              <w:spacing w:after="0" w:line="240" w:lineRule="auto"/>
            </w:pPr>
            <w:r>
              <w:rPr>
                <w:rFonts w:ascii="Arial" w:hAnsi="Arial"/>
                <w:b/>
                <w:color w:val="FFFFFF"/>
                <w:sz w:val="14"/>
              </w:rPr>
              <w:t>Report / revision</w:t>
            </w:r>
          </w:p>
        </w:tc>
        <w:tc>
          <w:tcPr>
            <w:tcW w:type="dxa" w:w="1270"/>
            <w:vAlign w:val="center"/>
            <w:shd w:fill="167C80"/>
          </w:tcPr>
          <w:p>
            <w:pPr>
              <w:spacing w:after="0" w:line="240" w:lineRule="auto"/>
            </w:pPr>
            <w:r>
              <w:rPr>
                <w:rFonts w:ascii="Arial" w:hAnsi="Arial"/>
                <w:b/>
                <w:color w:val="FFFFFF"/>
                <w:sz w:val="14"/>
              </w:rPr>
              <w:t>Status / reviewer</w:t>
            </w:r>
          </w:p>
        </w:tc>
        <w:tc>
          <w:tcPr>
            <w:tcW w:type="dxa" w:w="2313"/>
            <w:vAlign w:val="center"/>
            <w:shd w:fill="167C80"/>
          </w:tcPr>
          <w:p>
            <w:pPr>
              <w:spacing w:after="0" w:line="240" w:lineRule="auto"/>
            </w:pPr>
            <w:r>
              <w:rPr>
                <w:rFonts w:ascii="Arial" w:hAnsi="Arial"/>
                <w:b/>
                <w:color w:val="FFFFFF"/>
                <w:sz w:val="14"/>
              </w:rPr>
              <w:t>NCR / retest / disposition</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r>
        <w:trPr>
          <w:cantSplit/>
          <w:trHeight w:val="547" w:hRule="atLeast"/>
        </w:trPr>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1629"/>
            <w:vAlign w:val="center"/>
          </w:tcPr>
          <w:p>
            <w:pPr>
              <w:spacing w:after="0" w:line="240" w:lineRule="auto"/>
            </w:pPr>
            <w:r>
              <w:rPr>
                <w:rFonts w:ascii="Arial" w:hAnsi="Arial"/>
                <w:color w:val="23303C"/>
                <w:sz w:val="14"/>
              </w:rPr>
              <w:t xml:space="preserve"> </w:t>
            </w:r>
          </w:p>
        </w:tc>
        <w:tc>
          <w:tcPr>
            <w:tcW w:type="dxa" w:w="1270"/>
            <w:vAlign w:val="center"/>
          </w:tcPr>
          <w:p>
            <w:pPr>
              <w:spacing w:after="0" w:line="240" w:lineRule="auto"/>
            </w:pPr>
            <w:r>
              <w:rPr>
                <w:rFonts w:ascii="Arial" w:hAnsi="Arial"/>
                <w:color w:val="23303C"/>
                <w:sz w:val="14"/>
              </w:rPr>
              <w:t xml:space="preserve"> </w:t>
            </w:r>
          </w:p>
        </w:tc>
        <w:tc>
          <w:tcPr>
            <w:tcW w:type="dxa" w:w="2313"/>
            <w:vAlign w:val="center"/>
          </w:tcPr>
          <w:p>
            <w:pPr>
              <w:spacing w:after="0" w:line="240" w:lineRule="auto"/>
            </w:pPr>
            <w:r>
              <w:rPr>
                <w:rFonts w:ascii="Arial" w:hAnsi="Arial"/>
                <w:color w:val="23303C"/>
                <w:sz w:val="14"/>
              </w:rPr>
              <w:t xml:space="preserve"> </w:t>
            </w:r>
          </w:p>
        </w:tc>
      </w:tr>
    </w:tbl>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Compaction evidence handover</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Record lot review status</w:t>
      </w:r>
    </w:p>
    <w:p>
      <w:pPr>
        <w:spacing w:after="80"/>
      </w:pPr>
      <w:r>
        <w:rPr>
          <w:rFonts w:ascii="Arial" w:hAnsi="Arial"/>
          <w:b w:val="0"/>
          <w:sz w:val="18"/>
        </w:rPr>
        <w:t>[  ] Evidence indexed; assigned reviewer decision recorded</w:t>
      </w:r>
    </w:p>
    <w:p>
      <w:pPr>
        <w:spacing w:after="80"/>
      </w:pPr>
      <w:r>
        <w:rPr>
          <w:rFonts w:ascii="Arial" w:hAnsi="Arial"/>
          <w:b w:val="0"/>
          <w:sz w:val="18"/>
        </w:rPr>
        <w:t>[  ] Report, test, retest or disposition remains open</w:t>
      </w:r>
    </w:p>
    <w:p>
      <w:pPr>
        <w:spacing w:after="80"/>
      </w:pPr>
      <w:r>
        <w:rPr>
          <w:rFonts w:ascii="Arial" w:hAnsi="Arial"/>
          <w:b w:val="0"/>
          <w:sz w:val="18"/>
        </w:rPr>
        <w:t>[  ] Technical/project decision required</w:t>
      </w:r>
    </w:p>
    <w:p>
      <w:pPr>
        <w:spacing w:after="100"/>
      </w:pPr>
      <w:r>
        <w:rPr>
          <w:rFonts w:ascii="Arial" w:hAnsi="Arial"/>
          <w:b w:val="0"/>
          <w:sz w:val="18"/>
        </w:rPr>
        <w:t>This register links actual reports to defined work and records review status. It does not set a test frequency or compaction criterion, certify field/laboratory work, or automatically pass/accept a lot.</w:t>
      </w:r>
    </w:p>
    <w:p>
      <w:pPr>
        <w:spacing w:after="20"/>
      </w:pPr>
      <w:r>
        <w:rPr>
          <w:rFonts w:ascii="Arial" w:hAnsi="Arial"/>
          <w:b/>
          <w:sz w:val="20"/>
        </w:rPr>
        <w:t>Handover roles and references</w:t>
      </w:r>
    </w:p>
    <w:p>
      <w:pPr>
        <w:spacing w:after="100"/>
      </w:pPr>
      <w:r>
        <w:rPr>
          <w:rFonts w:ascii="Arial" w:hAnsi="Arial"/>
          <w:b w:val="0"/>
          <w:sz w:val="18"/>
        </w:rPr>
        <w:t>Field tester / laboratory / report references  ______________________________________________</w:t>
      </w:r>
    </w:p>
    <w:p>
      <w:pPr>
        <w:spacing w:after="100"/>
      </w:pPr>
      <w:r>
        <w:rPr>
          <w:rFonts w:ascii="Arial" w:hAnsi="Arial"/>
          <w:b w:val="0"/>
          <w:sz w:val="18"/>
        </w:rPr>
        <w:t>Recorder / lot register revision / date  ______________________________________________</w:t>
      </w:r>
    </w:p>
    <w:p>
      <w:pPr>
        <w:spacing w:after="100"/>
      </w:pPr>
      <w:r>
        <w:rPr>
          <w:rFonts w:ascii="Arial" w:hAnsi="Arial"/>
          <w:b w:val="0"/>
          <w:sz w:val="18"/>
        </w:rPr>
        <w:t>Assigned project reviewer role / written outcome / date  ______________________________________________</w:t>
      </w:r>
    </w:p>
    <w:p>
      <w:pPr>
        <w:spacing w:after="100"/>
      </w:pPr>
      <w:r>
        <w:rPr>
          <w:rFonts w:ascii="Arial" w:hAnsi="Arial"/>
          <w:b w:val="0"/>
          <w:sz w:val="18"/>
        </w:rPr>
        <w:t>Open failure / NCR / corrective work / retest references  ______________________________________________</w:t>
      </w:r>
    </w:p>
    <w:p>
      <w:pPr>
        <w:spacing w:after="100"/>
      </w:pPr>
      <w:r>
        <w:rPr>
          <w:rFonts w:ascii="Arial" w:hAnsi="Arial"/>
          <w:b w:val="0"/>
          <w:sz w:val="18"/>
        </w:rPr>
        <w:t>Evidence recipient / handover date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Cavoren earthworks baseline</w:t>
      </w:r>
    </w:p>
    <w:p>
      <w:pPr>
        <w:spacing w:after="20"/>
      </w:pPr>
      <w:r>
        <w:rPr>
          <w:rFonts w:ascii="Arial" w:hAnsi="Arial"/>
          <w:b w:val="0"/>
          <w:sz w:val="18"/>
        </w:rPr>
        <w:t>Role: Scope context only; not a project specification, design or acceptance criteria.</w:t>
      </w:r>
    </w:p>
    <w:p>
      <w:pPr>
        <w:spacing w:after="20"/>
      </w:pPr>
      <w:r>
        <w:rPr>
          <w:rFonts w:ascii="Arial" w:hAnsi="Arial"/>
          <w:b w:val="0"/>
          <w:sz w:val="18"/>
        </w:rPr>
        <w:t>Locator: Original reusable topic baseline for earthworks field records; process and evidence prompts only.</w:t>
      </w:r>
    </w:p>
    <w:p>
      <w:pPr>
        <w:spacing w:after="100"/>
      </w:pPr>
      <w:r>
        <w:rPr>
          <w:rFonts w:ascii="Arial" w:hAnsi="Arial"/>
          <w:b w:val="0"/>
          <w:sz w:val="18"/>
        </w:rPr>
        <w:t>Source URL: https://itp.cavoren.net/templates/bulk-earthworks/</w:t>
      </w:r>
    </w:p>
    <w:p>
      <w:pPr>
        <w:spacing w:after="20"/>
      </w:pPr>
      <w:r>
        <w:rPr>
          <w:rFonts w:ascii="Arial" w:hAnsi="Arial"/>
          <w:b/>
          <w:sz w:val="20"/>
        </w:rPr>
        <w:t>Queensland Department of Transport and Main Roads, MRTS04 General Earthworks (March 2025)</w:t>
      </w:r>
    </w:p>
    <w:p>
      <w:pPr>
        <w:spacing w:after="20"/>
      </w:pPr>
      <w:r>
        <w:rPr>
          <w:rFonts w:ascii="Arial" w:hAnsi="Arial"/>
          <w:b w:val="0"/>
          <w:sz w:val="18"/>
        </w:rPr>
        <w:t>Role: Conditional topic reference for Queensland roadworks/bridgeworks where this edition is adopted. No numeric compaction target, layer thickness, test rate, tolerance, test method or hold/witness point from MRTS04 is generalized into this form.</w:t>
      </w:r>
    </w:p>
    <w:p>
      <w:pPr>
        <w:spacing w:after="20"/>
      </w:pPr>
      <w:r>
        <w:rPr>
          <w:rFonts w:ascii="Arial" w:hAnsi="Arial"/>
          <w:b w:val="0"/>
          <w:sz w:val="18"/>
        </w:rPr>
        <w:t>Locator: March 2025, Clauses 1.1–1.2 (roadworks/bridgeworks scope); 13.3.3.4 (bottom of confined excavation); 15.1–15.3 and Tables 15.2–15.3 (compaction methods, layers and compliance testing); 19.1–19.3 including 19.3.4 (backfill adjacent to assets and pipe culverts); 21.1–21.1.2 (subgrade construction and levels); Appendix A (testing frequencies).</w:t>
      </w:r>
    </w:p>
    <w:p>
      <w:pPr>
        <w:spacing w:after="100"/>
      </w:pPr>
      <w:r>
        <w:rPr>
          <w:rFonts w:ascii="Arial" w:hAnsi="Arial"/>
          <w:b w:val="0"/>
          <w:sz w:val="18"/>
        </w:rPr>
        <w:t>Source URL: https://www.tmr.qld.gov.au/-/media/busind/techstdpubs/specifications-and-drawings/specifications/3-roadworks-drainage-culverts-and-geotechnical/mrts04.pdf?extension=pdf&amp;hash=840B4677F54FF4F65E5C80A7EF563206&amp;rev=d832abe7f4fb4ca1bb13425291c3faca&amp;sc_lang=en&amp;size=2763810</w:t>
      </w:r>
    </w:p>
    <w:p>
      <w:pPr>
        <w:spacing w:after="20"/>
      </w:pPr>
      <w:r>
        <w:rPr>
          <w:rFonts w:ascii="Arial" w:hAnsi="Arial"/>
          <w:b/>
          <w:sz w:val="20"/>
        </w:rPr>
        <w:t>Hutchies 010 Groundworks Report (public Word example)</w:t>
      </w:r>
    </w:p>
    <w:p>
      <w:pPr>
        <w:spacing w:after="20"/>
      </w:pPr>
      <w:r>
        <w:rPr>
          <w:rFonts w:ascii="Arial" w:hAnsi="Arial"/>
          <w:b w:val="0"/>
          <w:sz w:val="18"/>
        </w:rPr>
        <w:t>Role: Contractor-specific example for record structure and work stages only; blank fields do not establish universal criteria. No source wording or values are reproduced.</w:t>
      </w:r>
    </w:p>
    <w:p>
      <w:pPr>
        <w:spacing w:after="20"/>
      </w:pPr>
      <w:r>
        <w:rPr>
          <w:rFonts w:ascii="Arial" w:hAnsi="Arial"/>
          <w:b w:val="0"/>
          <w:sz w:val="18"/>
        </w:rPr>
        <w:t>Locator: Public report template. Broad sequence and evidence concepts: set-out, excavation/founding, fill/backfill, compaction/density, beds and final review.</w:t>
      </w:r>
    </w:p>
    <w:p>
      <w:pPr>
        <w:spacing w:after="100"/>
      </w:pPr>
      <w:r>
        <w:rPr>
          <w:rFonts w:ascii="Arial" w:hAnsi="Arial"/>
          <w:b w:val="0"/>
          <w:sz w:val="18"/>
        </w:rPr>
        <w:t>Source URL: https://toolbox.hutchies.com.au/uploads/010-Groundworks-Report.docx</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https://itp.cavoren.net/checklists/compaction-test-record/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